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ED96" w14:textId="77777777" w:rsidR="00EC4F70" w:rsidRPr="00F92249" w:rsidRDefault="00EC4F70" w:rsidP="00026629">
      <w:pPr>
        <w:spacing w:line="240" w:lineRule="auto"/>
        <w:ind w:left="3119"/>
        <w:jc w:val="both"/>
        <w:rPr>
          <w:rFonts w:cs="Calibri"/>
          <w:sz w:val="20"/>
          <w:szCs w:val="20"/>
        </w:rPr>
      </w:pPr>
      <w:bookmarkStart w:id="0" w:name="_Hlk46504000"/>
      <w:r w:rsidRPr="00F92249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F92249">
        <w:rPr>
          <w:rFonts w:cs="Calibri"/>
          <w:sz w:val="20"/>
          <w:szCs w:val="20"/>
        </w:rPr>
        <w:t>е</w:t>
      </w:r>
      <w:r w:rsidRPr="00F92249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14:paraId="11225A61" w14:textId="77777777" w:rsidR="00EC4F70" w:rsidRPr="00026629" w:rsidRDefault="00EC4F70" w:rsidP="000266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629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6DF1E845" w14:textId="7AC3805A" w:rsidR="00EC4F70" w:rsidRPr="00026629" w:rsidRDefault="00026629" w:rsidP="000266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629">
        <w:rPr>
          <w:rFonts w:ascii="Times New Roman CYR" w:hAnsi="Times New Roman CYR" w:cs="Times New Roman CYR"/>
          <w:bCs/>
          <w:sz w:val="24"/>
          <w:szCs w:val="24"/>
        </w:rPr>
        <w:t>ПМ.05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02662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026629">
        <w:rPr>
          <w:rFonts w:ascii="Times New Roman" w:hAnsi="Times New Roman" w:cs="Times New Roman"/>
          <w:sz w:val="24"/>
          <w:szCs w:val="24"/>
        </w:rPr>
        <w:t>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</w:t>
      </w:r>
    </w:p>
    <w:p w14:paraId="74687F45" w14:textId="442EB597" w:rsidR="00EC4F70" w:rsidRPr="00026629" w:rsidRDefault="00EC4F70" w:rsidP="00026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E38AC" w:rsidRPr="00026629">
        <w:rPr>
          <w:rFonts w:ascii="Times New Roman" w:eastAsia="Calibri" w:hAnsi="Times New Roman" w:cs="Times New Roman"/>
          <w:bCs/>
          <w:sz w:val="24"/>
          <w:szCs w:val="24"/>
        </w:rPr>
        <w:t xml:space="preserve">Работа на токарных станках с </w:t>
      </w:r>
      <w:r w:rsidR="00026629" w:rsidRPr="00026629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="00CE38AC" w:rsidRPr="0002662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26629" w:rsidRPr="00026629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CE38AC" w:rsidRPr="00026629">
        <w:rPr>
          <w:rFonts w:ascii="Times New Roman" w:eastAsia="Calibri" w:hAnsi="Times New Roman" w:cs="Times New Roman"/>
          <w:bCs/>
          <w:sz w:val="24"/>
          <w:szCs w:val="24"/>
        </w:rPr>
        <w:t>ловым программным управлением</w:t>
      </w:r>
    </w:p>
    <w:p w14:paraId="67E782F5" w14:textId="77777777" w:rsidR="00EC4F70" w:rsidRPr="00026629" w:rsidRDefault="00EC4F70" w:rsidP="000266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97EBD0" w14:textId="77777777" w:rsidR="00EC4F70" w:rsidRPr="00026629" w:rsidRDefault="00EC4F70" w:rsidP="00026629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</w:p>
    <w:p w14:paraId="5A3E593C" w14:textId="4E72A1B8" w:rsidR="00EC4F70" w:rsidRDefault="00CE38AC" w:rsidP="000266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>Гордеева Елена Александровна</w:t>
      </w:r>
      <w:r w:rsidRPr="00026629">
        <w:rPr>
          <w:rFonts w:ascii="Times New Roman" w:hAnsi="Times New Roman"/>
          <w:sz w:val="24"/>
          <w:szCs w:val="24"/>
        </w:rPr>
        <w:t>, ГБПОУ</w:t>
      </w:r>
      <w:r w:rsidR="00EC4F70" w:rsidRPr="00026629">
        <w:rPr>
          <w:rFonts w:ascii="Times New Roman" w:hAnsi="Times New Roman"/>
          <w:sz w:val="24"/>
          <w:szCs w:val="24"/>
        </w:rPr>
        <w:t xml:space="preserve"> «Самарский </w:t>
      </w:r>
      <w:r w:rsidRPr="00026629">
        <w:rPr>
          <w:rFonts w:ascii="Times New Roman" w:hAnsi="Times New Roman"/>
          <w:sz w:val="24"/>
          <w:szCs w:val="24"/>
        </w:rPr>
        <w:t>техникум авиационного и промышле</w:t>
      </w:r>
      <w:r w:rsidRPr="00026629">
        <w:rPr>
          <w:rFonts w:ascii="Times New Roman" w:hAnsi="Times New Roman"/>
          <w:sz w:val="24"/>
          <w:szCs w:val="24"/>
        </w:rPr>
        <w:t>н</w:t>
      </w:r>
      <w:r w:rsidRPr="00026629">
        <w:rPr>
          <w:rFonts w:ascii="Times New Roman" w:hAnsi="Times New Roman"/>
          <w:sz w:val="24"/>
          <w:szCs w:val="24"/>
        </w:rPr>
        <w:t>ного машиностроения им. Д.И. Козлова</w:t>
      </w:r>
      <w:proofErr w:type="gramStart"/>
      <w:r w:rsidR="00EC4F70" w:rsidRPr="00026629">
        <w:rPr>
          <w:rFonts w:ascii="Times New Roman" w:hAnsi="Times New Roman"/>
          <w:sz w:val="24"/>
          <w:szCs w:val="24"/>
        </w:rPr>
        <w:t>.»</w:t>
      </w:r>
      <w:proofErr w:type="gramEnd"/>
    </w:p>
    <w:p w14:paraId="05DC3730" w14:textId="77777777" w:rsidR="00162554" w:rsidRPr="00026629" w:rsidRDefault="00162554" w:rsidP="001625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24F2485D" w14:textId="77777777" w:rsidR="00EC4F70" w:rsidRPr="00026629" w:rsidRDefault="00EC4F70" w:rsidP="0002662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CECB08" w14:textId="77777777" w:rsidR="00EC4F70" w:rsidRPr="00026629" w:rsidRDefault="00EC4F70" w:rsidP="0002662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22EAB31B" w14:textId="3B5A7399" w:rsidR="00DB343C" w:rsidRPr="00026629" w:rsidRDefault="00AD6F14" w:rsidP="0002662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29">
        <w:rPr>
          <w:rFonts w:ascii="Times New Roman" w:hAnsi="Times New Roman" w:cs="Times New Roman"/>
          <w:bCs/>
          <w:sz w:val="24"/>
          <w:szCs w:val="24"/>
        </w:rPr>
        <w:t>Задани</w:t>
      </w:r>
      <w:r w:rsidR="0067396A">
        <w:rPr>
          <w:rFonts w:ascii="Times New Roman" w:hAnsi="Times New Roman" w:cs="Times New Roman"/>
          <w:bCs/>
          <w:sz w:val="24"/>
          <w:szCs w:val="24"/>
        </w:rPr>
        <w:t>е</w:t>
      </w:r>
      <w:r w:rsidRPr="00026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 xml:space="preserve">включает 2 части: 1) </w:t>
      </w:r>
      <w:r w:rsidRPr="00026629">
        <w:rPr>
          <w:rFonts w:ascii="Times New Roman" w:hAnsi="Times New Roman" w:cs="Times New Roman"/>
          <w:bCs/>
          <w:sz w:val="24"/>
          <w:szCs w:val="24"/>
        </w:rPr>
        <w:t>изготовлени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>е</w:t>
      </w:r>
      <w:r w:rsidRPr="00026629">
        <w:rPr>
          <w:rFonts w:ascii="Times New Roman" w:hAnsi="Times New Roman" w:cs="Times New Roman"/>
          <w:bCs/>
          <w:sz w:val="24"/>
          <w:szCs w:val="24"/>
        </w:rPr>
        <w:t xml:space="preserve"> обучающимся детали по чертежу на токарном станке с ЧПУ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 xml:space="preserve"> (не нацелено на формирование общих компетенций), 2) оценка изготовленной детали по заданным характеристикам (компетентностная часть)</w:t>
      </w:r>
      <w:r w:rsidRPr="000266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>Вторая част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ь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 xml:space="preserve"> задания пре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>д</w:t>
      </w:r>
      <w:r w:rsidR="006A1B9B" w:rsidRPr="00026629">
        <w:rPr>
          <w:rFonts w:ascii="Times New Roman" w:hAnsi="Times New Roman" w:cs="Times New Roman"/>
          <w:bCs/>
          <w:sz w:val="24"/>
          <w:szCs w:val="24"/>
        </w:rPr>
        <w:t xml:space="preserve">лагается обучающимся без предварительного объяснения. 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Задание предполагает, что преп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о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даватель проводит такую же оценку в таблице. Оценка преподавателя признается эталонной. Успешность деятельности обучающегося по оценке продукта определяется степенью соо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т</w:t>
      </w:r>
      <w:r w:rsidR="00DB343C" w:rsidRPr="00026629">
        <w:rPr>
          <w:rFonts w:ascii="Times New Roman" w:hAnsi="Times New Roman" w:cs="Times New Roman"/>
          <w:bCs/>
          <w:sz w:val="24"/>
          <w:szCs w:val="24"/>
        </w:rPr>
        <w:t>ветствия оценки обучающегося эталонной оценке (то есть проведенной преподавателем).</w:t>
      </w:r>
    </w:p>
    <w:p w14:paraId="07BEBE82" w14:textId="076759BF" w:rsidR="00AD6F14" w:rsidRPr="00026629" w:rsidRDefault="006A1B9B" w:rsidP="00026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29">
        <w:rPr>
          <w:rFonts w:ascii="Times New Roman" w:hAnsi="Times New Roman" w:cs="Times New Roman"/>
          <w:bCs/>
          <w:sz w:val="24"/>
          <w:szCs w:val="24"/>
        </w:rPr>
        <w:t>П</w:t>
      </w:r>
      <w:r w:rsidR="00AD6F14" w:rsidRPr="00026629">
        <w:rPr>
          <w:rFonts w:ascii="Times New Roman" w:hAnsi="Times New Roman" w:cs="Times New Roman"/>
          <w:bCs/>
          <w:sz w:val="24"/>
          <w:szCs w:val="24"/>
        </w:rPr>
        <w:t>реподаватель может предложить изготовить иную деталь</w:t>
      </w:r>
      <w:r w:rsidRPr="00026629">
        <w:rPr>
          <w:rFonts w:ascii="Times New Roman" w:hAnsi="Times New Roman" w:cs="Times New Roman"/>
          <w:bCs/>
          <w:sz w:val="24"/>
          <w:szCs w:val="24"/>
        </w:rPr>
        <w:t>, внеся</w:t>
      </w:r>
      <w:r w:rsidR="00AD6F14" w:rsidRPr="00026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6629">
        <w:rPr>
          <w:rFonts w:ascii="Times New Roman" w:hAnsi="Times New Roman" w:cs="Times New Roman"/>
          <w:bCs/>
          <w:sz w:val="24"/>
          <w:szCs w:val="24"/>
        </w:rPr>
        <w:t>исправления в таблицу контроля изготовления детали</w:t>
      </w:r>
      <w:r w:rsidR="00AD6F14" w:rsidRPr="00026629">
        <w:rPr>
          <w:rFonts w:ascii="Times New Roman" w:hAnsi="Times New Roman" w:cs="Times New Roman"/>
          <w:bCs/>
          <w:sz w:val="24"/>
          <w:szCs w:val="24"/>
        </w:rPr>
        <w:t>.</w:t>
      </w:r>
      <w:r w:rsidR="00193186" w:rsidRPr="000266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1BB6DB6F" w14:textId="77777777" w:rsidR="00480C87" w:rsidRPr="00026629" w:rsidRDefault="00480C87" w:rsidP="0002662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036075" w14:textId="46E5BAF6" w:rsidR="00DB343C" w:rsidRPr="00026629" w:rsidRDefault="00DB343C" w:rsidP="0002662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A6BB33" w14:textId="77777777" w:rsidR="00026629" w:rsidRDefault="00DB343C" w:rsidP="0002662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29">
        <w:rPr>
          <w:rFonts w:ascii="Times New Roman" w:hAnsi="Times New Roman" w:cs="Times New Roman"/>
          <w:bCs/>
          <w:sz w:val="24"/>
          <w:szCs w:val="24"/>
        </w:rPr>
        <w:t xml:space="preserve">1. </w:t>
      </w:r>
    </w:p>
    <w:p w14:paraId="065B153F" w14:textId="49A1F7A8" w:rsidR="00DB343C" w:rsidRPr="00026629" w:rsidRDefault="00DB343C" w:rsidP="0002662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29">
        <w:rPr>
          <w:rFonts w:ascii="Times New Roman" w:hAnsi="Times New Roman" w:cs="Times New Roman"/>
          <w:bCs/>
          <w:sz w:val="24"/>
          <w:szCs w:val="24"/>
        </w:rPr>
        <w:t>Изготовьте деталь в соответствии с чертежом.</w:t>
      </w:r>
    </w:p>
    <w:p w14:paraId="38852F09" w14:textId="6DC07E45" w:rsidR="006A130B" w:rsidRPr="00026629" w:rsidRDefault="006A130B" w:rsidP="0002662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CA97B1" w14:textId="77777777" w:rsidR="00026629" w:rsidRDefault="00DB343C" w:rsidP="0002662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F1570D4" w14:textId="48688532" w:rsidR="00DB343C" w:rsidRPr="00026629" w:rsidRDefault="00DB343C" w:rsidP="0002662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629">
        <w:rPr>
          <w:rFonts w:ascii="Times New Roman" w:hAnsi="Times New Roman" w:cs="Times New Roman"/>
          <w:bCs/>
          <w:sz w:val="24"/>
          <w:szCs w:val="24"/>
        </w:rPr>
        <w:t>Оцените изготовленную вами деталь, заполнив колонку «самооценка</w:t>
      </w:r>
      <w:r w:rsidR="00026629" w:rsidRPr="00026629">
        <w:rPr>
          <w:rFonts w:ascii="Times New Roman" w:hAnsi="Times New Roman" w:cs="Times New Roman"/>
          <w:bCs/>
          <w:sz w:val="24"/>
          <w:szCs w:val="24"/>
        </w:rPr>
        <w:t>»</w:t>
      </w:r>
      <w:r w:rsidRPr="00026629">
        <w:rPr>
          <w:rFonts w:ascii="Times New Roman" w:hAnsi="Times New Roman" w:cs="Times New Roman"/>
          <w:bCs/>
          <w:sz w:val="24"/>
          <w:szCs w:val="24"/>
        </w:rPr>
        <w:t xml:space="preserve"> в таблице ко</w:t>
      </w:r>
      <w:r w:rsidRPr="00026629">
        <w:rPr>
          <w:rFonts w:ascii="Times New Roman" w:hAnsi="Times New Roman" w:cs="Times New Roman"/>
          <w:bCs/>
          <w:sz w:val="24"/>
          <w:szCs w:val="24"/>
        </w:rPr>
        <w:t>н</w:t>
      </w:r>
      <w:r w:rsidRPr="00026629">
        <w:rPr>
          <w:rFonts w:ascii="Times New Roman" w:hAnsi="Times New Roman" w:cs="Times New Roman"/>
          <w:bCs/>
          <w:sz w:val="24"/>
          <w:szCs w:val="24"/>
        </w:rPr>
        <w:t>троля изготовления детали.</w:t>
      </w:r>
    </w:p>
    <w:p w14:paraId="0A20AB3D" w14:textId="15CF626D" w:rsidR="00974406" w:rsidRPr="00026629" w:rsidRDefault="00974406" w:rsidP="0002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FFBC8C" w14:textId="7B9B7E85" w:rsidR="00CE3C12" w:rsidRPr="00026629" w:rsidRDefault="00CE3C12" w:rsidP="0002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6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E5DCDD" wp14:editId="55640FBA">
            <wp:extent cx="6120130" cy="8655961"/>
            <wp:effectExtent l="0" t="0" r="0" b="0"/>
            <wp:docPr id="2" name="Рисунок 2" descr="H:\Ви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и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BDC8" w14:textId="2007387C" w:rsidR="00CE3C12" w:rsidRPr="00026629" w:rsidRDefault="00CE3C12" w:rsidP="0002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BA1EF3" w14:textId="2C1D70D6" w:rsidR="00CE3C12" w:rsidRPr="00026629" w:rsidRDefault="00CE3C12" w:rsidP="000266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40FDF" w14:textId="77777777" w:rsidR="00CE3C12" w:rsidRPr="00026629" w:rsidRDefault="00CE3C12" w:rsidP="0002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560BFE" w14:textId="0654DBDF" w:rsidR="00480C87" w:rsidRPr="00026629" w:rsidRDefault="00480C87" w:rsidP="0002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193186" w:rsidRPr="00026629">
        <w:rPr>
          <w:rFonts w:ascii="Times New Roman" w:hAnsi="Times New Roman" w:cs="Times New Roman"/>
          <w:sz w:val="24"/>
          <w:szCs w:val="24"/>
        </w:rPr>
        <w:t>контроля изготовления детали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59"/>
        <w:gridCol w:w="2083"/>
        <w:gridCol w:w="3880"/>
        <w:gridCol w:w="1666"/>
        <w:gridCol w:w="1666"/>
      </w:tblGrid>
      <w:tr w:rsidR="008A13FD" w:rsidRPr="00026629" w14:paraId="6B657A2E" w14:textId="77777777" w:rsidTr="002624CD">
        <w:trPr>
          <w:trHeight w:val="2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16D807" w14:textId="77777777" w:rsidR="008A13FD" w:rsidRPr="00026629" w:rsidRDefault="008A13F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A6CB2" w14:textId="14ADDEE3" w:rsidR="008A13FD" w:rsidRPr="00026629" w:rsidRDefault="00193186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детали</w:t>
            </w:r>
            <w:r w:rsidR="008A13FD"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AE02F0" w14:textId="725A89C6" w:rsidR="008A13FD" w:rsidRPr="00026629" w:rsidRDefault="00AD6F14" w:rsidP="000266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(да/нет)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B37A3E" w14:textId="035DCE57" w:rsidR="008A13FD" w:rsidRPr="00026629" w:rsidRDefault="00AD6F14" w:rsidP="000266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пр</w:t>
            </w: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подавателя (да/нет)</w:t>
            </w:r>
          </w:p>
        </w:tc>
      </w:tr>
      <w:tr w:rsidR="008A13FD" w:rsidRPr="00026629" w14:paraId="294B3D65" w14:textId="77777777" w:rsidTr="002624CD">
        <w:trPr>
          <w:trHeight w:val="294"/>
        </w:trPr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0D38DD" w14:textId="77777777" w:rsidR="008A13FD" w:rsidRPr="00026629" w:rsidRDefault="008A13F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детали, обработанной на станке с ПУ</w:t>
            </w:r>
          </w:p>
        </w:tc>
      </w:tr>
      <w:tr w:rsidR="006A1B9B" w:rsidRPr="00026629" w14:paraId="5277BBC6" w14:textId="77777777" w:rsidTr="002624CD">
        <w:trPr>
          <w:trHeight w:val="294"/>
        </w:trPr>
        <w:tc>
          <w:tcPr>
            <w:tcW w:w="559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31D3D429" w14:textId="7EC1777A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67EF6AC" w14:textId="09B72E8C" w:rsidR="006A1B9B" w:rsidRPr="00026629" w:rsidRDefault="006A1B9B" w:rsidP="0002662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Соответствие элементов детали требованиям че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9ECCA" w14:textId="3F5CF203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фас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ок 1,5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×45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под резьбу М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308DE61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EC0B8A0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51AB5268" w14:textId="77777777" w:rsidTr="002624CD">
        <w:trPr>
          <w:trHeight w:val="294"/>
        </w:trPr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4709C6C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DDEA9" w14:textId="18AD4B71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C3C3F3" w14:textId="19C541B5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канавки 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±0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A4110DB" w14:textId="266BF611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D30514A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53DB91E1" w14:textId="77777777" w:rsidTr="002624CD">
        <w:trPr>
          <w:trHeight w:val="294"/>
        </w:trPr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4854768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142A2" w14:textId="4B33FA1A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364998" w14:textId="3FF5AF79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Наличие резьбы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10-8g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2B23917" w14:textId="16CBA991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4A44FE4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68973C60" w14:textId="77777777" w:rsidTr="00A04C95">
        <w:trPr>
          <w:trHeight w:val="294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978456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B19AC" w14:textId="240E9F4C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49720" w14:textId="1F883E7C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отверстия ø6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8696F1" w14:textId="1E34ECC8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9802E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3ABE104E" w14:textId="77777777" w:rsidTr="00A04C95">
        <w:trPr>
          <w:trHeight w:val="22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</w:tcPr>
          <w:p w14:paraId="4D79C9D6" w14:textId="5F1174E9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14:paraId="5440E497" w14:textId="1710FC47" w:rsidR="006A1B9B" w:rsidRPr="00026629" w:rsidRDefault="006A1B9B" w:rsidP="0002662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Соответствие размеров детали/ размеры элеме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тов детали треб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ваниям чертежа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6A7E" w14:textId="2279F120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+0,5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(соответствует допуску 0,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мм)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98445B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833611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748980CA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2674FD9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06EE670" w14:textId="6945145E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2FC8" w14:textId="751F57EE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L = 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4±0,1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(соответствует допуску 0,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B4D502" w14:textId="2C5C981A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5CA742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4C648DBF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672F2D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2DAA75A" w14:textId="27D4945A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F699" w14:textId="5F2E9C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=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10±0,22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(соответствует допуску 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F44EB" w:rsidRPr="00026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CB0952" w14:textId="7743F8C8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31826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1491688C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D57A15B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5D6194C" w14:textId="2E51EEF6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280B" w14:textId="4B28DFB3" w:rsidR="006A1B9B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Ø8±0,3 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оответствует допуску 0,6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2DE0A6" w14:textId="05ABFA9C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10120D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3C044D92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88B3EA8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EF74AB" w14:textId="72055359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A274" w14:textId="7EC3FCA5" w:rsidR="006A1B9B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Ø14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- 0.2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(соответствует допуску 0,2 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743048" w14:textId="31B9E028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6D0276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1226CA2E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240731A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D8C98F1" w14:textId="6FA9431C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2FFE" w14:textId="3218B62A" w:rsidR="006A1B9B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Ø7,8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– 0,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36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(соответствует допуску 0,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>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41DFF7" w14:textId="42D91BD3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39E584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7B7E8689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32F6DD8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D95C087" w14:textId="33E1FB5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B258" w14:textId="7C72C5D0" w:rsidR="006A1B9B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Ø6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+0,36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(соответствует 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допуску 0,36 </w:t>
            </w:r>
            <w:r w:rsidR="006A1B9B" w:rsidRPr="00026629">
              <w:rPr>
                <w:rFonts w:ascii="Times New Roman" w:hAnsi="Times New Roman" w:cs="Times New Roman"/>
                <w:sz w:val="24"/>
                <w:szCs w:val="24"/>
              </w:rPr>
              <w:t>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518F64" w14:textId="1E0D3776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F6DCB9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2D760C6C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9715F83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D6A0F0F" w14:textId="66A6BB6A" w:rsidR="006A1B9B" w:rsidRPr="00026629" w:rsidRDefault="006A1B9B" w:rsidP="00026629">
            <w:pPr>
              <w:autoSpaceDE w:val="0"/>
              <w:adjustRightInd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B6ED" w14:textId="6EB223C5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Ширина канавки 3±0,2 (соотве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ствует допуску 0,4 мм)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065AF9" w14:textId="7C155A1E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DCB0C4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7DF258F1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6122A4A8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1C43C30" w14:textId="5C1A3268" w:rsidR="006A1B9B" w:rsidRPr="00026629" w:rsidRDefault="006A1B9B" w:rsidP="0002662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EF53" w14:textId="5E3E5AF4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Резьба </w:t>
            </w:r>
            <w:r w:rsidR="002624CD" w:rsidRPr="00026629">
              <w:rPr>
                <w:rFonts w:ascii="Times New Roman" w:hAnsi="Times New Roman" w:cs="Times New Roman"/>
                <w:sz w:val="24"/>
                <w:szCs w:val="24"/>
              </w:rPr>
              <w:t>М10-8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п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раметрам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FB46F4" w14:textId="5A2F3033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DDC599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CD" w:rsidRPr="00026629" w14:paraId="697E07A0" w14:textId="77777777" w:rsidTr="002624CD">
        <w:trPr>
          <w:trHeight w:val="180"/>
        </w:trPr>
        <w:tc>
          <w:tcPr>
            <w:tcW w:w="559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1D1D73D6" w14:textId="77777777" w:rsidR="002624CD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DF192F7" w14:textId="7E534823" w:rsidR="002624CD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FC661" w14:textId="40E78B73" w:rsidR="002624CD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Размер фаски 3-х фасок 1,5×45°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78A3701" w14:textId="753E3578" w:rsidR="002624CD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C6CEAF2" w14:textId="77777777" w:rsidR="002624CD" w:rsidRPr="00026629" w:rsidRDefault="002624CD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27395764" w14:textId="77777777" w:rsidTr="002624CD"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0705762D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BF0E639" w14:textId="5577568B" w:rsidR="006A1B9B" w:rsidRPr="00026629" w:rsidRDefault="006A1B9B" w:rsidP="00026629">
            <w:pPr>
              <w:autoSpaceDE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1205" w14:textId="3AF27A10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Выполнено притупление острых кромок кругом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9004A" w14:textId="1EA01684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3CF2BE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26AEA723" w14:textId="77777777" w:rsidTr="002624CD"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C9457A5" w14:textId="75575CEC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01F307F9" w14:textId="034A6D4A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поверхности эл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ментов детали соответствует требованиям че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026629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189997B1" wp14:editId="575D29E8">
                  <wp:extent cx="571500" cy="21907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="00F9224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 w14:anchorId="202A5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15.6pt" equationxml="&lt;">
                  <v:imagedata r:id="rId9" o:title="" chromakey="white"/>
                </v:shape>
              </w:pic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858351" w14:textId="21C5ABFC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Шероховатость поверхности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3,2</m:t>
                  </m:r>
                </m:e>
              </m:rad>
            </m:oMath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 на Ø</w:t>
            </w:r>
            <w:r w:rsidR="006D5DC6" w:rsidRPr="00026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DC6" w:rsidRPr="000266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– 0,2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D5DC6" w:rsidRPr="00026629">
              <w:rPr>
                <w:rFonts w:ascii="Times New Roman" w:hAnsi="Times New Roman" w:cs="Times New Roman"/>
                <w:sz w:val="24"/>
                <w:szCs w:val="24"/>
              </w:rPr>
              <w:t>Ø14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2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- 0.2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40BAC8C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EE7337B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2C1CF6F7" w14:textId="77777777" w:rsidTr="002624CD">
        <w:tc>
          <w:tcPr>
            <w:tcW w:w="55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097C510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ind w:firstLine="17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6FB261" w14:textId="37BE8BFB" w:rsidR="006A1B9B" w:rsidRPr="00026629" w:rsidRDefault="006A1B9B" w:rsidP="000266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1C96" w14:textId="5CA335A2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Шероховатость остальных повер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6.3</m:t>
                  </m:r>
                </m:e>
              </m:rad>
            </m:oMath>
            <w:r w:rsidRPr="0002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48F2A" w14:textId="6EE199B5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9534F2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9B" w:rsidRPr="00026629" w14:paraId="5CC1893B" w14:textId="77777777" w:rsidTr="002624CD"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BE2DC5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3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BD1EDB" w14:textId="70CE5CB3" w:rsidR="006A1B9B" w:rsidRPr="00026629" w:rsidRDefault="006A1B9B" w:rsidP="000266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Состояние поверхности детали (отсутствие царапин и повреждений) соответствует установленным</w:t>
            </w:r>
            <w:r w:rsidRPr="0002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629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722611" w14:textId="5FD2A4C5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2B49F9" w14:textId="77777777" w:rsidR="006A1B9B" w:rsidRPr="00026629" w:rsidRDefault="006A1B9B" w:rsidP="00026629">
            <w:pPr>
              <w:autoSpaceDE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1F864" w14:textId="77777777" w:rsidR="00DB343C" w:rsidRPr="00026629" w:rsidRDefault="00DB343C" w:rsidP="000266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6629">
        <w:rPr>
          <w:rFonts w:ascii="Times New Roman" w:hAnsi="Times New Roman"/>
          <w:b/>
          <w:sz w:val="24"/>
          <w:szCs w:val="24"/>
        </w:rPr>
        <w:br w:type="page"/>
      </w:r>
    </w:p>
    <w:p w14:paraId="5A1F2FD3" w14:textId="035819D5" w:rsidR="00115027" w:rsidRPr="00026629" w:rsidRDefault="00DB343C" w:rsidP="000266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26629">
        <w:rPr>
          <w:rFonts w:ascii="Times New Roman" w:hAnsi="Times New Roman"/>
          <w:bCs/>
          <w:sz w:val="24"/>
          <w:szCs w:val="24"/>
          <w:u w:val="single"/>
        </w:rPr>
        <w:lastRenderedPageBreak/>
        <w:t>Инструмент оценивания</w:t>
      </w:r>
    </w:p>
    <w:p w14:paraId="65E3B9C6" w14:textId="583F73C3" w:rsidR="00DB343C" w:rsidRPr="00026629" w:rsidRDefault="00DB343C" w:rsidP="00026629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DB343C" w:rsidRPr="00026629" w14:paraId="32CF7FB3" w14:textId="77777777" w:rsidTr="00DB343C">
        <w:tc>
          <w:tcPr>
            <w:tcW w:w="7054" w:type="dxa"/>
          </w:tcPr>
          <w:p w14:paraId="74D78DBE" w14:textId="3AEDF7BC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Самооценка обучающегося совпадает с эталонной или отклоняе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ся не более чем по двум характеристикам (19-21 совпадение)</w:t>
            </w:r>
          </w:p>
        </w:tc>
        <w:tc>
          <w:tcPr>
            <w:tcW w:w="2693" w:type="dxa"/>
          </w:tcPr>
          <w:p w14:paraId="0C65A74A" w14:textId="20AD474B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компетенция сформ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рована</w:t>
            </w:r>
          </w:p>
        </w:tc>
      </w:tr>
      <w:tr w:rsidR="00DB343C" w:rsidRPr="00026629" w14:paraId="69433C43" w14:textId="77777777" w:rsidTr="00DB343C">
        <w:tc>
          <w:tcPr>
            <w:tcW w:w="7054" w:type="dxa"/>
          </w:tcPr>
          <w:p w14:paraId="39E1A261" w14:textId="062F05CD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Самооценка обучающегося совпадает с эталонной по 12-18 хара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теристикам</w:t>
            </w:r>
          </w:p>
        </w:tc>
        <w:tc>
          <w:tcPr>
            <w:tcW w:w="2693" w:type="dxa"/>
          </w:tcPr>
          <w:p w14:paraId="201F3BBB" w14:textId="5BBDB510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компетенция сформ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рована частично</w:t>
            </w:r>
          </w:p>
        </w:tc>
      </w:tr>
      <w:tr w:rsidR="00DB343C" w:rsidRPr="00026629" w14:paraId="346EBC6C" w14:textId="77777777" w:rsidTr="00DB343C">
        <w:tc>
          <w:tcPr>
            <w:tcW w:w="7054" w:type="dxa"/>
          </w:tcPr>
          <w:p w14:paraId="00991363" w14:textId="03748DF3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Самооценка обучающегося совпадает с эталонной по 11 и менее характеристикам</w:t>
            </w:r>
          </w:p>
        </w:tc>
        <w:tc>
          <w:tcPr>
            <w:tcW w:w="2693" w:type="dxa"/>
          </w:tcPr>
          <w:p w14:paraId="0B897C35" w14:textId="63C92806" w:rsidR="00DB343C" w:rsidRPr="00026629" w:rsidRDefault="00DB343C" w:rsidP="000266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компетенция не сфо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26629">
              <w:rPr>
                <w:rFonts w:ascii="Times New Roman" w:hAnsi="Times New Roman"/>
                <w:bCs/>
                <w:sz w:val="24"/>
                <w:szCs w:val="24"/>
              </w:rPr>
              <w:t>мирована</w:t>
            </w:r>
          </w:p>
        </w:tc>
      </w:tr>
    </w:tbl>
    <w:p w14:paraId="25F6B11D" w14:textId="45C0C4BE" w:rsidR="00DB343C" w:rsidRPr="00026629" w:rsidRDefault="00DB343C" w:rsidP="0002662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sectPr w:rsidR="00DB343C" w:rsidRPr="00026629" w:rsidSect="006A1B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79C"/>
    <w:multiLevelType w:val="hybridMultilevel"/>
    <w:tmpl w:val="2222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FD"/>
    <w:rsid w:val="00026629"/>
    <w:rsid w:val="000F44EB"/>
    <w:rsid w:val="00115027"/>
    <w:rsid w:val="00162554"/>
    <w:rsid w:val="00193186"/>
    <w:rsid w:val="002624CD"/>
    <w:rsid w:val="003344AF"/>
    <w:rsid w:val="003532D2"/>
    <w:rsid w:val="00373AA6"/>
    <w:rsid w:val="00480C87"/>
    <w:rsid w:val="0067396A"/>
    <w:rsid w:val="006A130B"/>
    <w:rsid w:val="006A1B9B"/>
    <w:rsid w:val="006D5DC6"/>
    <w:rsid w:val="008A13FD"/>
    <w:rsid w:val="008A49DC"/>
    <w:rsid w:val="00974406"/>
    <w:rsid w:val="00A04C95"/>
    <w:rsid w:val="00AD6F14"/>
    <w:rsid w:val="00C555A1"/>
    <w:rsid w:val="00CD6929"/>
    <w:rsid w:val="00CE38AC"/>
    <w:rsid w:val="00CE3C12"/>
    <w:rsid w:val="00DB343C"/>
    <w:rsid w:val="00EC4F70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2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02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532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02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3532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9E6C-F22A-418B-835E-DE08D05D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4</cp:revision>
  <dcterms:created xsi:type="dcterms:W3CDTF">2020-07-24T13:42:00Z</dcterms:created>
  <dcterms:modified xsi:type="dcterms:W3CDTF">2020-08-10T17:22:00Z</dcterms:modified>
</cp:coreProperties>
</file>