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A" w:rsidRPr="0046476E" w:rsidRDefault="00D4720A" w:rsidP="0046476E">
      <w:pPr>
        <w:spacing w:after="0" w:line="240" w:lineRule="auto"/>
        <w:ind w:left="3402"/>
        <w:jc w:val="both"/>
        <w:rPr>
          <w:rFonts w:eastAsia="Calibri" w:cstheme="minorHAnsi"/>
          <w:sz w:val="20"/>
          <w:szCs w:val="20"/>
        </w:rPr>
      </w:pPr>
      <w:bookmarkStart w:id="0" w:name="_Hlk46504000"/>
      <w:r w:rsidRPr="0046476E">
        <w:rPr>
          <w:rFonts w:eastAsia="Calibri"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46476E" w:rsidRPr="0046476E" w:rsidRDefault="0046476E" w:rsidP="004647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76E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</w:p>
    <w:p w:rsidR="0046476E" w:rsidRPr="0046476E" w:rsidRDefault="0046476E" w:rsidP="004647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6476E">
        <w:rPr>
          <w:rFonts w:ascii="Times New Roman" w:eastAsia="Calibri" w:hAnsi="Times New Roman" w:cs="Times New Roman"/>
          <w:sz w:val="24"/>
          <w:szCs w:val="24"/>
        </w:rPr>
        <w:t>Лапицкая</w:t>
      </w:r>
      <w:proofErr w:type="spellEnd"/>
      <w:r w:rsidRPr="0046476E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Александровна, ГБПОУ «Поволжский государственный колледж»</w:t>
      </w:r>
    </w:p>
    <w:p w:rsidR="00374DEB" w:rsidRPr="0046476E" w:rsidRDefault="00374DEB" w:rsidP="00D47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20A" w:rsidRPr="0046476E" w:rsidRDefault="00D4720A" w:rsidP="00D472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476E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D4720A" w:rsidRPr="0046476E" w:rsidRDefault="004D728E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76E">
        <w:rPr>
          <w:rFonts w:ascii="Times New Roman" w:hAnsi="Times New Roman" w:cs="Times New Roman"/>
          <w:sz w:val="24"/>
          <w:szCs w:val="24"/>
        </w:rPr>
        <w:t>ПМ.02. Изготовление различных изделий на фрезерных станках по ст</w:t>
      </w:r>
      <w:r w:rsidR="0046476E">
        <w:rPr>
          <w:rFonts w:ascii="Times New Roman" w:hAnsi="Times New Roman" w:cs="Times New Roman"/>
          <w:sz w:val="24"/>
          <w:szCs w:val="24"/>
        </w:rPr>
        <w:t>адиям технологического процесса</w:t>
      </w:r>
    </w:p>
    <w:p w:rsidR="00D4720A" w:rsidRPr="0046476E" w:rsidRDefault="00D4720A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76E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255D22" w:rsidRPr="0046476E">
        <w:rPr>
          <w:rFonts w:ascii="Times New Roman" w:hAnsi="Times New Roman" w:cs="Times New Roman"/>
          <w:sz w:val="24"/>
          <w:szCs w:val="24"/>
        </w:rPr>
        <w:t>Учебная практика. Фрезерование наружных и внутренних поверхностей штампов</w:t>
      </w:r>
    </w:p>
    <w:p w:rsidR="00D4720A" w:rsidRPr="0046476E" w:rsidRDefault="00D4720A" w:rsidP="00D4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20A" w:rsidRPr="0046476E" w:rsidRDefault="00D4720A" w:rsidP="00D47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76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4D728E" w:rsidRPr="0046476E" w:rsidRDefault="00255D22" w:rsidP="00B7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включает 2 части:</w:t>
      </w:r>
    </w:p>
    <w:p w:rsidR="00255D22" w:rsidRPr="0046476E" w:rsidRDefault="00255D22" w:rsidP="00255D2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</w:t>
      </w:r>
      <w:r w:rsidR="003D478E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 «Сошка» по чертежу на фрезерном станке (задание нацелено на формирование</w:t>
      </w:r>
      <w:r w:rsidR="006923C7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умений и опыта практической деятельности</w:t>
      </w: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55D22" w:rsidRPr="0046476E" w:rsidRDefault="00255D22" w:rsidP="00255D22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изготовленной детали «Сошка» по заданным характеристикам (компетентностная часть). Вторая часть задания предлагается </w:t>
      </w:r>
      <w:proofErr w:type="gramStart"/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7CB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после окончания выполнения первой части и </w:t>
      </w: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объяснения преподавателя. </w:t>
      </w:r>
      <w:r w:rsidR="006923C7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может предложить оценить продукт как собственной деятельности, так и деятельности однокурсника.</w:t>
      </w:r>
    </w:p>
    <w:p w:rsidR="003D478E" w:rsidRPr="0046476E" w:rsidRDefault="003D478E" w:rsidP="003D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предполагает, что преподаватель проводит такую же оценку в таблице. Оценка преподавателя признается эталонной. Успешная деятельность обучающего по оценке продукта определяется степенью соответствия оценки обучающегося эталонной оценке, т.е. проведенной преподавателем. </w:t>
      </w:r>
      <w:r w:rsidR="009C4F0B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задание необходимо проводить на основе имеющихся базовых знаний по фрезерованию наружных и внутренних поверхностей, чтению чертежей, контролю изготовленного изделия.</w:t>
      </w:r>
    </w:p>
    <w:p w:rsidR="003D478E" w:rsidRPr="0046476E" w:rsidRDefault="003D478E" w:rsidP="003D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3C7" w:rsidRPr="0046476E" w:rsidRDefault="006923C7" w:rsidP="003D4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3C7" w:rsidRPr="0046476E" w:rsidRDefault="0046476E" w:rsidP="0069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1</w:t>
      </w:r>
    </w:p>
    <w:p w:rsidR="006923C7" w:rsidRPr="0046476E" w:rsidRDefault="006923C7" w:rsidP="0069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чертеж детали «Сошка».</w:t>
      </w:r>
    </w:p>
    <w:p w:rsidR="00B81373" w:rsidRPr="0046476E" w:rsidRDefault="003D478E" w:rsidP="00B81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Изготовьте деталь в соответствии с чертежом</w:t>
      </w:r>
      <w:r w:rsidR="00B81373" w:rsidRPr="0046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6476E" w:rsidRPr="0046476E" w:rsidRDefault="0046476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C4F0B" w:rsidRPr="0046476E" w:rsidRDefault="0046476E" w:rsidP="006923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 1</w:t>
      </w:r>
    </w:p>
    <w:p w:rsidR="006923C7" w:rsidRPr="0046476E" w:rsidRDefault="006923C7" w:rsidP="00692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76E">
        <w:rPr>
          <w:rFonts w:ascii="Times New Roman" w:hAnsi="Times New Roman" w:cs="Times New Roman"/>
          <w:b/>
          <w:sz w:val="24"/>
          <w:szCs w:val="24"/>
        </w:rPr>
        <w:t>Чертеж детали «Сошка»</w:t>
      </w:r>
    </w:p>
    <w:p w:rsidR="004D728E" w:rsidRPr="0046476E" w:rsidRDefault="004D728E" w:rsidP="0046476E">
      <w:pPr>
        <w:spacing w:after="0" w:line="240" w:lineRule="auto"/>
        <w:jc w:val="center"/>
      </w:pPr>
      <w:r w:rsidRPr="0046476E">
        <w:rPr>
          <w:noProof/>
          <w:lang w:eastAsia="ru-RU"/>
        </w:rPr>
        <w:drawing>
          <wp:inline distT="0" distB="0" distL="0" distR="0" wp14:anchorId="011D2AB4" wp14:editId="56FBF5AF">
            <wp:extent cx="5814725" cy="4097547"/>
            <wp:effectExtent l="0" t="0" r="0" b="0"/>
            <wp:docPr id="9" name="Рисунок 3" descr="C:\Users\Манюня\Desktop\сошка дет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юня\Desktop\сошка дета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20" t="3979" r="11820" b="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250" cy="412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76E" w:rsidRDefault="0046476E" w:rsidP="0069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3FBC" w:rsidRPr="0046476E" w:rsidRDefault="00E13FBC" w:rsidP="0069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1" w:name="_GoBack"/>
      <w:bookmarkEnd w:id="1"/>
    </w:p>
    <w:p w:rsidR="006923C7" w:rsidRPr="0046476E" w:rsidRDefault="006923C7" w:rsidP="00692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2</w:t>
      </w:r>
    </w:p>
    <w:p w:rsidR="006923C7" w:rsidRPr="0046476E" w:rsidRDefault="006923C7" w:rsidP="0069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требования к характеристикам детали «Сошка»</w:t>
      </w:r>
      <w:r w:rsidR="00E72058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(бланк, источник 1)</w:t>
      </w:r>
      <w:r w:rsidR="00C12AC4" w:rsidRPr="00464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3C7" w:rsidRPr="0046476E" w:rsidRDefault="006923C7" w:rsidP="00692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Оцените соответствие характеристик полученной детали требуемым характеристикам. Заполните контрольный лист.</w:t>
      </w:r>
    </w:p>
    <w:p w:rsidR="00E13FBC" w:rsidRDefault="00E13FBC" w:rsidP="004647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6476E" w:rsidRPr="0046476E" w:rsidRDefault="0046476E" w:rsidP="0046476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6476E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1C0E17" w:rsidRPr="0046476E" w:rsidRDefault="001C0E17" w:rsidP="001C0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76E">
        <w:rPr>
          <w:rFonts w:ascii="Times New Roman" w:hAnsi="Times New Roman" w:cs="Times New Roman"/>
          <w:b/>
          <w:sz w:val="24"/>
          <w:szCs w:val="24"/>
        </w:rPr>
        <w:t>Контрольный лист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22"/>
        <w:gridCol w:w="1766"/>
        <w:gridCol w:w="1766"/>
      </w:tblGrid>
      <w:tr w:rsidR="0046476E" w:rsidRPr="0046476E" w:rsidTr="001F13A9">
        <w:trPr>
          <w:tblHeader/>
        </w:trPr>
        <w:tc>
          <w:tcPr>
            <w:tcW w:w="6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3B" w:rsidRPr="0046476E" w:rsidRDefault="00005C3B" w:rsidP="00B6038B">
            <w:pPr>
              <w:jc w:val="center"/>
              <w:rPr>
                <w:sz w:val="22"/>
                <w:szCs w:val="22"/>
                <w:lang w:eastAsia="ru-RU"/>
              </w:rPr>
            </w:pPr>
            <w:r w:rsidRPr="0046476E">
              <w:rPr>
                <w:sz w:val="22"/>
                <w:szCs w:val="22"/>
                <w:lang w:eastAsia="ru-RU"/>
              </w:rPr>
              <w:t>характеристики детали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3B" w:rsidRPr="0046476E" w:rsidRDefault="00005C3B" w:rsidP="00005C3B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6476E">
              <w:rPr>
                <w:sz w:val="22"/>
                <w:szCs w:val="22"/>
                <w:lang w:eastAsia="ru-RU"/>
              </w:rPr>
              <w:t xml:space="preserve">оценка </w:t>
            </w:r>
            <w:proofErr w:type="gramStart"/>
            <w:r w:rsidRPr="0046476E">
              <w:rPr>
                <w:sz w:val="22"/>
                <w:szCs w:val="22"/>
                <w:lang w:eastAsia="ru-RU"/>
              </w:rPr>
              <w:t>обучающегося</w:t>
            </w:r>
            <w:proofErr w:type="gramEnd"/>
            <w:r w:rsidRPr="0046476E">
              <w:rPr>
                <w:sz w:val="22"/>
                <w:szCs w:val="22"/>
                <w:lang w:eastAsia="ru-RU"/>
              </w:rPr>
              <w:t xml:space="preserve"> </w:t>
            </w:r>
            <w:r w:rsidRPr="0046476E">
              <w:rPr>
                <w:b/>
                <w:sz w:val="22"/>
                <w:szCs w:val="22"/>
                <w:lang w:eastAsia="ru-RU"/>
              </w:rPr>
              <w:t>+\-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C3B" w:rsidRPr="0046476E" w:rsidRDefault="00005C3B" w:rsidP="00005C3B">
            <w:pPr>
              <w:jc w:val="center"/>
              <w:rPr>
                <w:sz w:val="22"/>
                <w:szCs w:val="22"/>
                <w:lang w:eastAsia="ru-RU"/>
              </w:rPr>
            </w:pPr>
            <w:r w:rsidRPr="0046476E">
              <w:rPr>
                <w:sz w:val="22"/>
                <w:szCs w:val="22"/>
                <w:lang w:eastAsia="ru-RU"/>
              </w:rPr>
              <w:t xml:space="preserve">оценка преподавателя </w:t>
            </w:r>
            <w:r w:rsidRPr="0046476E">
              <w:rPr>
                <w:b/>
                <w:sz w:val="22"/>
                <w:szCs w:val="22"/>
                <w:lang w:eastAsia="ru-RU"/>
              </w:rPr>
              <w:t>+\-</w:t>
            </w:r>
          </w:p>
        </w:tc>
      </w:tr>
      <w:tr w:rsidR="0046476E" w:rsidRPr="0046476E" w:rsidTr="001F13A9">
        <w:tc>
          <w:tcPr>
            <w:tcW w:w="6535" w:type="dxa"/>
            <w:tcBorders>
              <w:bottom w:val="nil"/>
            </w:tcBorders>
            <w:shd w:val="clear" w:color="auto" w:fill="auto"/>
            <w:vAlign w:val="center"/>
          </w:tcPr>
          <w:p w:rsidR="00005C3B" w:rsidRPr="0046476E" w:rsidRDefault="00005C3B" w:rsidP="00005C3B">
            <w:pPr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Имеются следующие элементы детали:</w:t>
            </w:r>
          </w:p>
        </w:tc>
        <w:tc>
          <w:tcPr>
            <w:tcW w:w="1819" w:type="dxa"/>
            <w:tcBorders>
              <w:bottom w:val="nil"/>
            </w:tcBorders>
            <w:shd w:val="clear" w:color="auto" w:fill="auto"/>
            <w:vAlign w:val="center"/>
          </w:tcPr>
          <w:p w:rsidR="00005C3B" w:rsidRPr="0046476E" w:rsidRDefault="00005C3B" w:rsidP="00B6038B">
            <w:pPr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bottom w:val="nil"/>
            </w:tcBorders>
            <w:shd w:val="clear" w:color="auto" w:fill="auto"/>
            <w:vAlign w:val="center"/>
          </w:tcPr>
          <w:p w:rsidR="00005C3B" w:rsidRPr="0046476E" w:rsidRDefault="00005C3B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два ступенчатых цилиндрических отверстия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C3B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два цилиндрических углубления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C3B" w:rsidRPr="0046476E" w:rsidRDefault="00005C3B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C3B" w:rsidRPr="0046476E" w:rsidRDefault="00005C3B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одно конусное отверстие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3945D9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четыре </w:t>
            </w:r>
            <w:r w:rsidR="000F5B22" w:rsidRPr="0046476E">
              <w:rPr>
                <w:sz w:val="24"/>
                <w:szCs w:val="24"/>
                <w:lang w:eastAsia="ru-RU"/>
              </w:rPr>
              <w:t>радиус</w:t>
            </w:r>
            <w:r w:rsidRPr="0046476E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0F5B22">
            <w:pPr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Деталь 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общая длина детали </w:t>
            </w:r>
            <w:r w:rsidRPr="0046476E">
              <w:rPr>
                <w:sz w:val="22"/>
                <w:szCs w:val="22"/>
                <w:lang w:val="en-US" w:eastAsia="ru-RU"/>
              </w:rPr>
              <w:t>L</w:t>
            </w:r>
            <w:r w:rsidRPr="0046476E">
              <w:rPr>
                <w:sz w:val="22"/>
                <w:szCs w:val="22"/>
                <w:lang w:eastAsia="ru-RU"/>
              </w:rPr>
              <w:t xml:space="preserve"> = 176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3945D9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наибольшая ширина детали </w:t>
            </w:r>
            <w:r w:rsidRPr="0046476E">
              <w:rPr>
                <w:sz w:val="24"/>
                <w:szCs w:val="24"/>
                <w:lang w:val="en-US" w:eastAsia="ru-RU"/>
              </w:rPr>
              <w:t>B</w:t>
            </w:r>
            <w:r w:rsidRPr="0046476E">
              <w:rPr>
                <w:sz w:val="24"/>
                <w:szCs w:val="24"/>
                <w:lang w:eastAsia="ru-RU"/>
              </w:rPr>
              <w:t>=60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общая высота детали </w:t>
            </w:r>
            <w:r w:rsidRPr="0046476E">
              <w:rPr>
                <w:sz w:val="24"/>
                <w:szCs w:val="24"/>
                <w:lang w:val="en-US" w:eastAsia="ru-RU"/>
              </w:rPr>
              <w:t>H</w:t>
            </w:r>
            <w:r w:rsidRPr="0046476E">
              <w:rPr>
                <w:sz w:val="24"/>
                <w:szCs w:val="24"/>
                <w:lang w:eastAsia="ru-RU"/>
              </w:rPr>
              <w:t>=22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0F5B22">
            <w:pPr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lastRenderedPageBreak/>
              <w:t>Элементы детали имеют следующие размеры: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расстояние между центром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54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и центром </w:t>
            </w:r>
            <w:r w:rsidRPr="0046476E">
              <w:rPr>
                <w:sz w:val="24"/>
                <w:szCs w:val="24"/>
                <w:lang w:val="en-US" w:eastAsia="ru-RU"/>
              </w:rPr>
              <w:t>R</w:t>
            </w:r>
            <w:r w:rsidRPr="0046476E">
              <w:rPr>
                <w:sz w:val="24"/>
                <w:szCs w:val="24"/>
                <w:lang w:eastAsia="ru-RU"/>
              </w:rPr>
              <w:t>84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мм: </w:t>
            </w:r>
            <w:r w:rsidRPr="0046476E">
              <w:rPr>
                <w:sz w:val="24"/>
                <w:szCs w:val="24"/>
                <w:lang w:val="en-US" w:eastAsia="ru-RU"/>
              </w:rPr>
              <w:t>L</w:t>
            </w:r>
            <w:r w:rsidRPr="0046476E">
              <w:rPr>
                <w:sz w:val="24"/>
                <w:szCs w:val="24"/>
                <w:lang w:eastAsia="ru-RU"/>
              </w:rPr>
              <w:t>=51,2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расстояние между центром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54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 и R18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мм: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L=58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расстояние между центром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15,5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и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15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мм: L=50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расстояние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между центром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15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и центром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54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мм: L=48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 xml:space="preserve">расстояние между центром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54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и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15мм: L=40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радиус R=84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радиус R=18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радиус R=20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радиус R=30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5B22" w:rsidRPr="0046476E" w:rsidRDefault="000F5B22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расстояние от центра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Ø15,5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 до осевой линии детали 9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5B22" w:rsidRPr="0046476E" w:rsidRDefault="000F5B22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3945D9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угол 11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0</w:t>
            </w:r>
            <w:r w:rsidRPr="0046476E">
              <w:rPr>
                <w:sz w:val="24"/>
                <w:szCs w:val="24"/>
                <w:lang w:eastAsia="ru-RU"/>
              </w:rPr>
              <w:t>относительно максимальной ширины детали 60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на длину </w:t>
            </w:r>
            <w:r w:rsidRPr="0046476E">
              <w:rPr>
                <w:sz w:val="24"/>
                <w:szCs w:val="24"/>
                <w:lang w:val="en-US" w:eastAsia="ru-RU"/>
              </w:rPr>
              <w:t>L</w:t>
            </w:r>
            <w:r w:rsidRPr="0046476E">
              <w:rPr>
                <w:sz w:val="24"/>
                <w:szCs w:val="24"/>
                <w:lang w:eastAsia="ru-RU"/>
              </w:rPr>
              <w:t>=98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(расстояние между центром отверстия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15,5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и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54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3945D9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угол 35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0</w:t>
            </w:r>
            <w:r w:rsidRPr="0046476E">
              <w:rPr>
                <w:sz w:val="24"/>
                <w:szCs w:val="24"/>
                <w:lang w:eastAsia="ru-RU"/>
              </w:rPr>
              <w:t>относительно максимальной ширины детали 60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на длину </w:t>
            </w:r>
            <w:r w:rsidRPr="0046476E">
              <w:rPr>
                <w:sz w:val="24"/>
                <w:szCs w:val="24"/>
                <w:lang w:val="en-US" w:eastAsia="ru-RU"/>
              </w:rPr>
              <w:t>L</w:t>
            </w:r>
            <w:r w:rsidRPr="0046476E">
              <w:rPr>
                <w:sz w:val="24"/>
                <w:szCs w:val="24"/>
                <w:lang w:eastAsia="ru-RU"/>
              </w:rPr>
              <w:t>=58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 (расстояние между центром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sym w:font="Symbol" w:char="F0C6"/>
            </w:r>
            <w:r w:rsidRPr="0046476E">
              <w:rPr>
                <w:sz w:val="24"/>
                <w:szCs w:val="24"/>
                <w:lang w:eastAsia="ru-RU"/>
              </w:rPr>
              <w:t>54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 xml:space="preserve">мм и </w:t>
            </w:r>
            <w:r w:rsidRPr="0046476E">
              <w:rPr>
                <w:sz w:val="24"/>
                <w:szCs w:val="24"/>
                <w:lang w:val="en-US" w:eastAsia="ru-RU"/>
              </w:rPr>
              <w:t>R</w:t>
            </w:r>
            <w:r w:rsidRPr="0046476E">
              <w:rPr>
                <w:sz w:val="24"/>
                <w:szCs w:val="24"/>
                <w:lang w:eastAsia="ru-RU"/>
              </w:rPr>
              <w:t>18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мм)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3945D9" w:rsidP="005A608C">
            <w:pPr>
              <w:ind w:firstLine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2-х отверстий Ø12,1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+0,18</w:t>
            </w:r>
            <w:r w:rsidRPr="0046476E">
              <w:rPr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3945D9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конусного отверстия Ø15,5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+0,18</w:t>
            </w:r>
            <w:r w:rsidRPr="0046476E">
              <w:rPr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2-х отверстий Ø15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+0,18</w:t>
            </w:r>
            <w:r w:rsidRPr="0046476E">
              <w:rPr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2-х отверстий Ø12,1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 xml:space="preserve">+0,18 </w:t>
            </w:r>
            <w:r w:rsidRPr="0046476E">
              <w:rPr>
                <w:sz w:val="24"/>
                <w:szCs w:val="24"/>
                <w:lang w:eastAsia="ru-RU"/>
              </w:rPr>
              <w:t>на глубину 8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2-х отверстий Ø15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+0,18</w:t>
            </w:r>
            <w:r w:rsidRPr="0046476E">
              <w:rPr>
                <w:sz w:val="24"/>
                <w:szCs w:val="24"/>
                <w:lang w:eastAsia="ru-RU"/>
              </w:rPr>
              <w:t xml:space="preserve"> на глубину по 6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5D9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углубления</w:t>
            </w:r>
            <w:r w:rsidR="0046476E" w:rsidRPr="0046476E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Ø34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+0,25</w:t>
            </w:r>
            <w:r w:rsidRPr="0046476E">
              <w:rPr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45D9" w:rsidRPr="0046476E" w:rsidRDefault="003945D9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08C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углубления Ø54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+0,3</w:t>
            </w:r>
            <w:r w:rsidRPr="0046476E">
              <w:rPr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08C" w:rsidRPr="0046476E" w:rsidRDefault="005A608C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08C" w:rsidRPr="0046476E" w:rsidRDefault="005A608C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08C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углубления Ø34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+0,25</w:t>
            </w:r>
            <w:r w:rsidRPr="0046476E">
              <w:rPr>
                <w:sz w:val="24"/>
                <w:szCs w:val="24"/>
                <w:lang w:eastAsia="ru-RU"/>
              </w:rPr>
              <w:t xml:space="preserve"> мм на глубину 7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08C" w:rsidRPr="0046476E" w:rsidRDefault="005A608C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08C" w:rsidRPr="0046476E" w:rsidRDefault="005A608C" w:rsidP="00B6038B">
            <w:pPr>
              <w:jc w:val="center"/>
              <w:rPr>
                <w:lang w:eastAsia="ru-RU"/>
              </w:rPr>
            </w:pPr>
          </w:p>
        </w:tc>
      </w:tr>
      <w:tr w:rsidR="0046476E" w:rsidRPr="0046476E" w:rsidTr="001F13A9">
        <w:tc>
          <w:tcPr>
            <w:tcW w:w="6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608C" w:rsidRPr="0046476E" w:rsidRDefault="005A608C" w:rsidP="000F5B22">
            <w:pPr>
              <w:ind w:left="567"/>
              <w:rPr>
                <w:sz w:val="24"/>
                <w:szCs w:val="24"/>
                <w:lang w:eastAsia="ru-RU"/>
              </w:rPr>
            </w:pPr>
            <w:r w:rsidRPr="0046476E">
              <w:rPr>
                <w:sz w:val="24"/>
                <w:szCs w:val="24"/>
                <w:lang w:eastAsia="ru-RU"/>
              </w:rPr>
              <w:t>диаметр углубления Ø54</w:t>
            </w:r>
            <w:r w:rsidRPr="0046476E">
              <w:rPr>
                <w:sz w:val="24"/>
                <w:szCs w:val="24"/>
                <w:vertAlign w:val="superscript"/>
                <w:lang w:eastAsia="ru-RU"/>
              </w:rPr>
              <w:t>+0,3</w:t>
            </w:r>
            <w:r w:rsidRPr="0046476E">
              <w:rPr>
                <w:sz w:val="24"/>
                <w:szCs w:val="24"/>
                <w:lang w:eastAsia="ru-RU"/>
              </w:rPr>
              <w:t xml:space="preserve"> мм на глубину 4</w:t>
            </w:r>
            <w:r w:rsidR="001F13A9">
              <w:rPr>
                <w:sz w:val="24"/>
                <w:szCs w:val="24"/>
                <w:lang w:eastAsia="ru-RU"/>
              </w:rPr>
              <w:t xml:space="preserve"> </w:t>
            </w:r>
            <w:r w:rsidRPr="0046476E">
              <w:rPr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08C" w:rsidRPr="0046476E" w:rsidRDefault="005A608C" w:rsidP="001F13A9">
            <w:pPr>
              <w:spacing w:line="480" w:lineRule="auto"/>
              <w:jc w:val="center"/>
              <w:rPr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608C" w:rsidRPr="0046476E" w:rsidRDefault="005A608C" w:rsidP="00B6038B">
            <w:pPr>
              <w:jc w:val="center"/>
              <w:rPr>
                <w:lang w:eastAsia="ru-RU"/>
              </w:rPr>
            </w:pPr>
          </w:p>
        </w:tc>
      </w:tr>
    </w:tbl>
    <w:p w:rsidR="00005C3B" w:rsidRPr="0046476E" w:rsidRDefault="00005C3B" w:rsidP="00227C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182" w:rsidRPr="0046476E" w:rsidRDefault="008865CF" w:rsidP="00B73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47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46476E" w:rsidRPr="0046476E" w:rsidRDefault="0046476E" w:rsidP="00B7372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46476E" w:rsidRPr="0046476E" w:rsidTr="0046476E">
        <w:tc>
          <w:tcPr>
            <w:tcW w:w="8188" w:type="dxa"/>
          </w:tcPr>
          <w:p w:rsidR="001937E7" w:rsidRPr="0046476E" w:rsidRDefault="00E72058" w:rsidP="00E72058">
            <w:pPr>
              <w:jc w:val="both"/>
              <w:rPr>
                <w:sz w:val="22"/>
                <w:szCs w:val="22"/>
                <w:lang w:eastAsia="ru-RU"/>
              </w:rPr>
            </w:pPr>
            <w:r w:rsidRPr="0046476E">
              <w:rPr>
                <w:sz w:val="22"/>
                <w:szCs w:val="22"/>
                <w:lang w:eastAsia="ru-RU"/>
              </w:rPr>
              <w:t xml:space="preserve">За соответствие оценки каждой характеристики эталонной оценке (оценке, данной преподавателем) </w:t>
            </w:r>
          </w:p>
        </w:tc>
        <w:tc>
          <w:tcPr>
            <w:tcW w:w="1701" w:type="dxa"/>
            <w:vAlign w:val="center"/>
          </w:tcPr>
          <w:p w:rsidR="001937E7" w:rsidRPr="0046476E" w:rsidRDefault="00006CB9" w:rsidP="0022229C">
            <w:pPr>
              <w:rPr>
                <w:sz w:val="22"/>
                <w:szCs w:val="22"/>
                <w:lang w:eastAsia="ru-RU"/>
              </w:rPr>
            </w:pPr>
            <w:r w:rsidRPr="0046476E">
              <w:rPr>
                <w:sz w:val="22"/>
                <w:szCs w:val="22"/>
                <w:lang w:eastAsia="ru-RU"/>
              </w:rPr>
              <w:t>1 балл</w:t>
            </w:r>
          </w:p>
        </w:tc>
      </w:tr>
      <w:tr w:rsidR="0046476E" w:rsidRPr="0046476E" w:rsidTr="0046476E">
        <w:tc>
          <w:tcPr>
            <w:tcW w:w="8188" w:type="dxa"/>
          </w:tcPr>
          <w:p w:rsidR="001937E7" w:rsidRPr="0046476E" w:rsidRDefault="00006CB9" w:rsidP="00B7372D">
            <w:pPr>
              <w:jc w:val="both"/>
              <w:rPr>
                <w:b/>
                <w:i/>
                <w:sz w:val="22"/>
                <w:szCs w:val="22"/>
                <w:lang w:eastAsia="ru-RU"/>
              </w:rPr>
            </w:pPr>
            <w:r w:rsidRPr="0046476E">
              <w:rPr>
                <w:b/>
                <w:i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701" w:type="dxa"/>
            <w:vAlign w:val="center"/>
          </w:tcPr>
          <w:p w:rsidR="001937E7" w:rsidRPr="0046476E" w:rsidRDefault="00006CB9" w:rsidP="0022229C">
            <w:pPr>
              <w:rPr>
                <w:b/>
                <w:i/>
                <w:sz w:val="22"/>
                <w:szCs w:val="22"/>
                <w:lang w:eastAsia="ru-RU"/>
              </w:rPr>
            </w:pPr>
            <w:r w:rsidRPr="0046476E">
              <w:rPr>
                <w:b/>
                <w:i/>
                <w:sz w:val="22"/>
                <w:szCs w:val="22"/>
                <w:lang w:eastAsia="ru-RU"/>
              </w:rPr>
              <w:t>29 баллов</w:t>
            </w:r>
          </w:p>
        </w:tc>
      </w:tr>
    </w:tbl>
    <w:p w:rsidR="00862215" w:rsidRPr="0046476E" w:rsidRDefault="00862215" w:rsidP="00464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2215" w:rsidRPr="0046476E" w:rsidSect="00D472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44F0E"/>
    <w:multiLevelType w:val="hybridMultilevel"/>
    <w:tmpl w:val="1ED899A6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40D4"/>
    <w:multiLevelType w:val="hybridMultilevel"/>
    <w:tmpl w:val="7CFC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D5E40"/>
    <w:multiLevelType w:val="hybridMultilevel"/>
    <w:tmpl w:val="0D70C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0D84"/>
    <w:multiLevelType w:val="hybridMultilevel"/>
    <w:tmpl w:val="86D0777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7009A"/>
    <w:multiLevelType w:val="hybridMultilevel"/>
    <w:tmpl w:val="620C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27410"/>
    <w:multiLevelType w:val="hybridMultilevel"/>
    <w:tmpl w:val="B3622D2A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A5E30"/>
    <w:multiLevelType w:val="hybridMultilevel"/>
    <w:tmpl w:val="C0CE58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A3EF6"/>
    <w:multiLevelType w:val="hybridMultilevel"/>
    <w:tmpl w:val="4002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B390B"/>
    <w:multiLevelType w:val="multilevel"/>
    <w:tmpl w:val="41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B060C"/>
    <w:multiLevelType w:val="hybridMultilevel"/>
    <w:tmpl w:val="0C1E35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2057C"/>
    <w:multiLevelType w:val="hybridMultilevel"/>
    <w:tmpl w:val="254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56E24"/>
    <w:multiLevelType w:val="hybridMultilevel"/>
    <w:tmpl w:val="A05A08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542EE"/>
    <w:multiLevelType w:val="hybridMultilevel"/>
    <w:tmpl w:val="E9C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55B92"/>
    <w:multiLevelType w:val="hybridMultilevel"/>
    <w:tmpl w:val="9084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D38A3"/>
    <w:multiLevelType w:val="hybridMultilevel"/>
    <w:tmpl w:val="36FE15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60FFF"/>
    <w:multiLevelType w:val="hybridMultilevel"/>
    <w:tmpl w:val="BA4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04C70"/>
    <w:multiLevelType w:val="hybridMultilevel"/>
    <w:tmpl w:val="6B5E56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17"/>
  </w:num>
  <w:num w:numId="13">
    <w:abstractNumId w:val="14"/>
  </w:num>
  <w:num w:numId="14">
    <w:abstractNumId w:val="16"/>
  </w:num>
  <w:num w:numId="15">
    <w:abstractNumId w:val="20"/>
  </w:num>
  <w:num w:numId="16">
    <w:abstractNumId w:val="15"/>
  </w:num>
  <w:num w:numId="17">
    <w:abstractNumId w:val="18"/>
  </w:num>
  <w:num w:numId="18">
    <w:abstractNumId w:val="21"/>
  </w:num>
  <w:num w:numId="19">
    <w:abstractNumId w:val="13"/>
  </w:num>
  <w:num w:numId="20">
    <w:abstractNumId w:val="9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05C3B"/>
    <w:rsid w:val="00006CB9"/>
    <w:rsid w:val="00031C7A"/>
    <w:rsid w:val="00041191"/>
    <w:rsid w:val="00054DBF"/>
    <w:rsid w:val="000933AA"/>
    <w:rsid w:val="000A5869"/>
    <w:rsid w:val="000C0126"/>
    <w:rsid w:val="000C17CB"/>
    <w:rsid w:val="000D0024"/>
    <w:rsid w:val="000D6CBC"/>
    <w:rsid w:val="000F4ABB"/>
    <w:rsid w:val="000F5B22"/>
    <w:rsid w:val="00175924"/>
    <w:rsid w:val="0018042D"/>
    <w:rsid w:val="001937E7"/>
    <w:rsid w:val="001A3DC6"/>
    <w:rsid w:val="001A64EA"/>
    <w:rsid w:val="001B1A62"/>
    <w:rsid w:val="001C0E17"/>
    <w:rsid w:val="001D13B0"/>
    <w:rsid w:val="001D2CD2"/>
    <w:rsid w:val="001F11A8"/>
    <w:rsid w:val="001F13A9"/>
    <w:rsid w:val="001F3795"/>
    <w:rsid w:val="001F390E"/>
    <w:rsid w:val="001F3F4F"/>
    <w:rsid w:val="002169EF"/>
    <w:rsid w:val="0022229C"/>
    <w:rsid w:val="00227C35"/>
    <w:rsid w:val="002328DB"/>
    <w:rsid w:val="00255D22"/>
    <w:rsid w:val="002617B3"/>
    <w:rsid w:val="002750B3"/>
    <w:rsid w:val="0029400D"/>
    <w:rsid w:val="002B5719"/>
    <w:rsid w:val="002F022D"/>
    <w:rsid w:val="002F034B"/>
    <w:rsid w:val="002F0C51"/>
    <w:rsid w:val="0033280E"/>
    <w:rsid w:val="0033784D"/>
    <w:rsid w:val="003454BF"/>
    <w:rsid w:val="00374DEB"/>
    <w:rsid w:val="00377DAD"/>
    <w:rsid w:val="003805B6"/>
    <w:rsid w:val="003945D9"/>
    <w:rsid w:val="003A39C9"/>
    <w:rsid w:val="003A6984"/>
    <w:rsid w:val="003B1A53"/>
    <w:rsid w:val="003D3F40"/>
    <w:rsid w:val="003D478E"/>
    <w:rsid w:val="003D6DEC"/>
    <w:rsid w:val="0041357A"/>
    <w:rsid w:val="00422461"/>
    <w:rsid w:val="0046476E"/>
    <w:rsid w:val="00472D05"/>
    <w:rsid w:val="0048446E"/>
    <w:rsid w:val="004A54F7"/>
    <w:rsid w:val="004C0197"/>
    <w:rsid w:val="004C5597"/>
    <w:rsid w:val="004D728E"/>
    <w:rsid w:val="004F0FA0"/>
    <w:rsid w:val="00500FAC"/>
    <w:rsid w:val="00535FB9"/>
    <w:rsid w:val="005731E3"/>
    <w:rsid w:val="005A2720"/>
    <w:rsid w:val="005A3631"/>
    <w:rsid w:val="005A608C"/>
    <w:rsid w:val="005E05B9"/>
    <w:rsid w:val="00611CE4"/>
    <w:rsid w:val="00617C61"/>
    <w:rsid w:val="00623603"/>
    <w:rsid w:val="006726A7"/>
    <w:rsid w:val="006923C7"/>
    <w:rsid w:val="00695060"/>
    <w:rsid w:val="006C2FBD"/>
    <w:rsid w:val="006D29E2"/>
    <w:rsid w:val="006E4323"/>
    <w:rsid w:val="006E78F6"/>
    <w:rsid w:val="007174E2"/>
    <w:rsid w:val="00744B18"/>
    <w:rsid w:val="00745690"/>
    <w:rsid w:val="00747491"/>
    <w:rsid w:val="00754E1B"/>
    <w:rsid w:val="00757159"/>
    <w:rsid w:val="00784BF1"/>
    <w:rsid w:val="00796FD4"/>
    <w:rsid w:val="007D6FD6"/>
    <w:rsid w:val="00816182"/>
    <w:rsid w:val="008544D2"/>
    <w:rsid w:val="00862215"/>
    <w:rsid w:val="008663CC"/>
    <w:rsid w:val="00871E8A"/>
    <w:rsid w:val="00877088"/>
    <w:rsid w:val="008865CF"/>
    <w:rsid w:val="008D32DB"/>
    <w:rsid w:val="008E5FA3"/>
    <w:rsid w:val="00923EF8"/>
    <w:rsid w:val="00963E23"/>
    <w:rsid w:val="00975AC6"/>
    <w:rsid w:val="009C4F0B"/>
    <w:rsid w:val="009D157F"/>
    <w:rsid w:val="009E55D2"/>
    <w:rsid w:val="009E6858"/>
    <w:rsid w:val="00A00289"/>
    <w:rsid w:val="00A40DEF"/>
    <w:rsid w:val="00A65253"/>
    <w:rsid w:val="00A77F1D"/>
    <w:rsid w:val="00A93E10"/>
    <w:rsid w:val="00AC39A4"/>
    <w:rsid w:val="00AD4EA6"/>
    <w:rsid w:val="00AF4F5D"/>
    <w:rsid w:val="00B10DEA"/>
    <w:rsid w:val="00B7372D"/>
    <w:rsid w:val="00B76599"/>
    <w:rsid w:val="00B76BE2"/>
    <w:rsid w:val="00B81373"/>
    <w:rsid w:val="00BA0954"/>
    <w:rsid w:val="00BA172B"/>
    <w:rsid w:val="00BE0126"/>
    <w:rsid w:val="00C04D48"/>
    <w:rsid w:val="00C12AC4"/>
    <w:rsid w:val="00C258E7"/>
    <w:rsid w:val="00C42279"/>
    <w:rsid w:val="00C764FD"/>
    <w:rsid w:val="00C8127C"/>
    <w:rsid w:val="00CA6646"/>
    <w:rsid w:val="00CB69A2"/>
    <w:rsid w:val="00CD6D94"/>
    <w:rsid w:val="00CE6082"/>
    <w:rsid w:val="00D0060C"/>
    <w:rsid w:val="00D239EB"/>
    <w:rsid w:val="00D34D20"/>
    <w:rsid w:val="00D41852"/>
    <w:rsid w:val="00D44EEC"/>
    <w:rsid w:val="00D4720A"/>
    <w:rsid w:val="00D50D3A"/>
    <w:rsid w:val="00D66170"/>
    <w:rsid w:val="00D67AB3"/>
    <w:rsid w:val="00D758A8"/>
    <w:rsid w:val="00D85629"/>
    <w:rsid w:val="00D93294"/>
    <w:rsid w:val="00DB5165"/>
    <w:rsid w:val="00DB57AE"/>
    <w:rsid w:val="00DC36A2"/>
    <w:rsid w:val="00E13FBC"/>
    <w:rsid w:val="00E72058"/>
    <w:rsid w:val="00E72223"/>
    <w:rsid w:val="00E83547"/>
    <w:rsid w:val="00EC7585"/>
    <w:rsid w:val="00ED393A"/>
    <w:rsid w:val="00ED57A3"/>
    <w:rsid w:val="00EF17C4"/>
    <w:rsid w:val="00F0666F"/>
    <w:rsid w:val="00F40CB8"/>
    <w:rsid w:val="00F50341"/>
    <w:rsid w:val="00F73253"/>
    <w:rsid w:val="00F9742A"/>
    <w:rsid w:val="00FA1BFC"/>
    <w:rsid w:val="00FA225F"/>
    <w:rsid w:val="00FB2D5B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A107-F78D-4E03-9C14-D4B4CCEB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2021-03-17T11:46:00Z</dcterms:created>
  <dcterms:modified xsi:type="dcterms:W3CDTF">2021-03-17T11:46:00Z</dcterms:modified>
</cp:coreProperties>
</file>