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5A8" w:rsidRPr="005225A8" w:rsidRDefault="005225A8" w:rsidP="005225A8">
      <w:pPr>
        <w:spacing w:after="0" w:line="240" w:lineRule="auto"/>
        <w:ind w:left="3544"/>
        <w:jc w:val="both"/>
        <w:rPr>
          <w:rFonts w:cs="Times New Roman"/>
          <w:sz w:val="20"/>
          <w:szCs w:val="20"/>
        </w:rPr>
      </w:pPr>
      <w:r w:rsidRPr="005225A8">
        <w:rPr>
          <w:rFonts w:cs="Times New Roman"/>
          <w:sz w:val="20"/>
          <w:szCs w:val="20"/>
        </w:rPr>
        <w:t>Задание подготовлено в рамках проекта АНО «Лаборатория модерн</w:t>
      </w:r>
      <w:r w:rsidRPr="005225A8">
        <w:rPr>
          <w:rFonts w:cs="Times New Roman"/>
          <w:sz w:val="20"/>
          <w:szCs w:val="20"/>
        </w:rPr>
        <w:t>и</w:t>
      </w:r>
      <w:r w:rsidRPr="005225A8">
        <w:rPr>
          <w:rFonts w:cs="Times New Roman"/>
          <w:sz w:val="20"/>
          <w:szCs w:val="20"/>
        </w:rPr>
        <w:t>зации образовательных ресурсов» «Кадровый и учебно-методический ресурс формирования общих компетенций обучающихся по програ</w:t>
      </w:r>
      <w:r w:rsidRPr="005225A8">
        <w:rPr>
          <w:rFonts w:cs="Times New Roman"/>
          <w:sz w:val="20"/>
          <w:szCs w:val="20"/>
        </w:rPr>
        <w:t>м</w:t>
      </w:r>
      <w:r w:rsidRPr="005225A8">
        <w:rPr>
          <w:rFonts w:cs="Times New Roman"/>
          <w:sz w:val="20"/>
          <w:szCs w:val="20"/>
        </w:rPr>
        <w:t>мам СПО», который реализуется с использованием гранта Президента Российской Федерации на развитие гражданского общества, пред</w:t>
      </w:r>
      <w:r w:rsidRPr="005225A8">
        <w:rPr>
          <w:rFonts w:cs="Times New Roman"/>
          <w:sz w:val="20"/>
          <w:szCs w:val="20"/>
        </w:rPr>
        <w:t>о</w:t>
      </w:r>
      <w:r w:rsidRPr="005225A8">
        <w:rPr>
          <w:rFonts w:cs="Times New Roman"/>
          <w:sz w:val="20"/>
          <w:szCs w:val="20"/>
        </w:rPr>
        <w:t>ставленного Фондом президентских грантов.</w:t>
      </w:r>
    </w:p>
    <w:p w:rsidR="005225A8" w:rsidRPr="005225A8" w:rsidRDefault="005225A8" w:rsidP="005225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5A8">
        <w:rPr>
          <w:rFonts w:ascii="Times New Roman" w:hAnsi="Times New Roman" w:cs="Times New Roman"/>
          <w:b/>
          <w:sz w:val="24"/>
          <w:szCs w:val="24"/>
        </w:rPr>
        <w:t>Разработчики</w:t>
      </w:r>
    </w:p>
    <w:p w:rsidR="005225A8" w:rsidRPr="005225A8" w:rsidRDefault="005225A8" w:rsidP="00522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5A8">
        <w:rPr>
          <w:rFonts w:ascii="Times New Roman" w:hAnsi="Times New Roman" w:cs="Times New Roman"/>
          <w:sz w:val="24"/>
          <w:szCs w:val="24"/>
        </w:rPr>
        <w:t>Феоктистов Геннадий Геннадьевич, ГБПОУ «Сергиевский губернский техникум»</w:t>
      </w:r>
    </w:p>
    <w:p w:rsidR="005225A8" w:rsidRPr="005225A8" w:rsidRDefault="005225A8" w:rsidP="00522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5A8">
        <w:rPr>
          <w:rFonts w:ascii="Times New Roman" w:hAnsi="Times New Roman" w:cs="Times New Roman"/>
          <w:sz w:val="24"/>
          <w:szCs w:val="24"/>
        </w:rPr>
        <w:t>Василенко Сергей Владимирович, ГБПОУ «Сергиевский губернский техникум»</w:t>
      </w:r>
    </w:p>
    <w:p w:rsidR="005225A8" w:rsidRPr="005225A8" w:rsidRDefault="005225A8" w:rsidP="00522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5A8" w:rsidRPr="005225A8" w:rsidRDefault="005225A8" w:rsidP="005225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5A8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:rsidR="00E1245E" w:rsidRPr="005225A8" w:rsidRDefault="00E1245E" w:rsidP="00522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5A8">
        <w:rPr>
          <w:rFonts w:ascii="Times New Roman" w:hAnsi="Times New Roman" w:cs="Times New Roman"/>
          <w:sz w:val="24"/>
          <w:szCs w:val="24"/>
        </w:rPr>
        <w:t xml:space="preserve">Оценка результата (продукта) деятельности. Уровень </w:t>
      </w:r>
      <w:r w:rsidR="0080361C" w:rsidRPr="005225A8">
        <w:rPr>
          <w:rFonts w:ascii="Times New Roman" w:hAnsi="Times New Roman" w:cs="Times New Roman"/>
          <w:sz w:val="24"/>
          <w:szCs w:val="24"/>
        </w:rPr>
        <w:t>I</w:t>
      </w:r>
    </w:p>
    <w:p w:rsidR="00313276" w:rsidRPr="005225A8" w:rsidRDefault="005225A8" w:rsidP="00522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ПМ.</w:t>
      </w:r>
      <w:r w:rsidR="00EB3823" w:rsidRPr="005225A8">
        <w:rPr>
          <w:rFonts w:ascii="Times New Roman" w:hAnsi="Times New Roman" w:cs="Times New Roman"/>
          <w:sz w:val="24"/>
          <w:szCs w:val="24"/>
        </w:rPr>
        <w:t>02 Эксплуатация сельскохозяйственной техники</w:t>
      </w:r>
      <w:r w:rsidRPr="005225A8">
        <w:rPr>
          <w:rFonts w:ascii="Times New Roman" w:hAnsi="Times New Roman" w:cs="Times New Roman"/>
          <w:sz w:val="24"/>
          <w:szCs w:val="24"/>
        </w:rPr>
        <w:t>. Производственная практика</w:t>
      </w:r>
    </w:p>
    <w:p w:rsidR="00E1245E" w:rsidRPr="005225A8" w:rsidRDefault="00E1245E" w:rsidP="00522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5A8">
        <w:rPr>
          <w:rFonts w:ascii="Times New Roman" w:hAnsi="Times New Roman" w:cs="Times New Roman"/>
          <w:sz w:val="24"/>
          <w:szCs w:val="24"/>
        </w:rPr>
        <w:t>Тема</w:t>
      </w:r>
      <w:r w:rsidR="005225A8" w:rsidRPr="005225A8">
        <w:rPr>
          <w:rFonts w:ascii="Times New Roman" w:hAnsi="Times New Roman" w:cs="Times New Roman"/>
          <w:sz w:val="24"/>
          <w:szCs w:val="24"/>
        </w:rPr>
        <w:t>:</w:t>
      </w:r>
      <w:r w:rsidRPr="005225A8">
        <w:rPr>
          <w:rFonts w:ascii="Times New Roman" w:hAnsi="Times New Roman" w:cs="Times New Roman"/>
          <w:sz w:val="24"/>
          <w:szCs w:val="24"/>
        </w:rPr>
        <w:t xml:space="preserve"> </w:t>
      </w:r>
      <w:r w:rsidR="00EB3823" w:rsidRPr="005225A8">
        <w:rPr>
          <w:rFonts w:ascii="Times New Roman" w:hAnsi="Times New Roman" w:cs="Times New Roman"/>
          <w:sz w:val="24"/>
          <w:szCs w:val="24"/>
        </w:rPr>
        <w:t>Проверка технического состояния пахотного агрегата;  подготовка к работе машинно-</w:t>
      </w:r>
      <w:r w:rsidR="00EB3823" w:rsidRPr="005225A8">
        <w:rPr>
          <w:rFonts w:ascii="Times New Roman" w:eastAsia="Calibri" w:hAnsi="Times New Roman" w:cs="Times New Roman"/>
          <w:sz w:val="24"/>
          <w:szCs w:val="24"/>
        </w:rPr>
        <w:t xml:space="preserve">тракторного агрегата; </w:t>
      </w:r>
      <w:r w:rsidR="00EB3823" w:rsidRPr="005225A8">
        <w:rPr>
          <w:rFonts w:ascii="Times New Roman" w:hAnsi="Times New Roman" w:cs="Times New Roman"/>
          <w:sz w:val="24"/>
          <w:szCs w:val="24"/>
        </w:rPr>
        <w:t xml:space="preserve"> </w:t>
      </w:r>
      <w:r w:rsidR="00EB3823" w:rsidRPr="005225A8">
        <w:rPr>
          <w:rFonts w:ascii="Times New Roman" w:eastAsia="Calibri" w:hAnsi="Times New Roman" w:cs="Times New Roman"/>
          <w:sz w:val="24"/>
          <w:szCs w:val="24"/>
        </w:rPr>
        <w:t>выбор способов движения агрегата; выполнение пахотных работ</w:t>
      </w:r>
    </w:p>
    <w:p w:rsidR="005225A8" w:rsidRPr="005225A8" w:rsidRDefault="005225A8" w:rsidP="00522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45E" w:rsidRPr="005225A8" w:rsidRDefault="00E1245E" w:rsidP="005225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225A8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</w:p>
    <w:p w:rsidR="0080361C" w:rsidRPr="005225A8" w:rsidRDefault="00040DBC" w:rsidP="00522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задания организуется перед выполнением работ по вспашке с оборотом пласта. Для выполнения задания руководитель практики выбирает поле, на котором вспашка была только что завершена.</w:t>
      </w:r>
      <w:r w:rsidR="0080361C"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поле не имеет уклонов, следует удалить взятые в скобках слова в описани</w:t>
      </w:r>
      <w:r w:rsidR="005225A8"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предпоследней характеристики.</w:t>
      </w:r>
    </w:p>
    <w:p w:rsidR="00040DBC" w:rsidRPr="005225A8" w:rsidRDefault="00040DBC" w:rsidP="00522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предполагает, что преподаватель проводит такую же оценку в таблице. Оценка пр</w:t>
      </w: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подавателя признается эталонной. Успешная деятельность обучающего по оценке продукта определяется степенью соответствия оценки обучающегося эталонной оценке, т.е. проведе</w:t>
      </w: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преподавателем.</w:t>
      </w:r>
    </w:p>
    <w:p w:rsidR="00040DBC" w:rsidRPr="005225A8" w:rsidRDefault="00040DBC" w:rsidP="00522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предложить </w:t>
      </w:r>
      <w:proofErr w:type="gramStart"/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оценить качество проведенной ими вспашки после в</w:t>
      </w: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полнения соответствующего задания, нацеленного на формирование профессиональных умений и опыта практической деятельности</w:t>
      </w:r>
    </w:p>
    <w:p w:rsidR="00040DBC" w:rsidRPr="005225A8" w:rsidRDefault="00040DBC" w:rsidP="00522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0DBC" w:rsidRPr="005225A8" w:rsidRDefault="00040DBC" w:rsidP="005225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80361C" w:rsidRPr="005225A8" w:rsidRDefault="00E1245E" w:rsidP="00522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Изучите требования к </w:t>
      </w:r>
      <w:r w:rsidR="0080361C"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качеству обработки поля </w:t>
      </w:r>
      <w:r w:rsidR="007142C1"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(бланк). Ознакомьтесь с </w:t>
      </w:r>
      <w:r w:rsidR="0080361C"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</w:t>
      </w:r>
      <w:r w:rsidR="0080361C"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0361C"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ями источника.</w:t>
      </w:r>
    </w:p>
    <w:p w:rsidR="007142C1" w:rsidRPr="005225A8" w:rsidRDefault="00E1245E" w:rsidP="00522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2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Оцените соответствие характеристик </w:t>
      </w:r>
      <w:r w:rsidR="0080361C"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пашни после вспашки с оборотом пласта</w:t>
      </w:r>
      <w:r w:rsidR="0080361C" w:rsidRPr="00522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142C1" w:rsidRPr="00522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стандартным показателям качества</w:t>
      </w:r>
      <w:r w:rsidRPr="00522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E1245E" w:rsidRPr="005225A8" w:rsidRDefault="00E1245E" w:rsidP="00522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Заполните контрольный лист.</w:t>
      </w:r>
    </w:p>
    <w:p w:rsidR="00E1245E" w:rsidRPr="005225A8" w:rsidRDefault="00E1245E" w:rsidP="0052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42C1" w:rsidRPr="005225A8" w:rsidRDefault="007142C1" w:rsidP="005225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25A8">
        <w:rPr>
          <w:rFonts w:ascii="Times New Roman" w:hAnsi="Times New Roman" w:cs="Times New Roman"/>
          <w:i/>
          <w:sz w:val="24"/>
          <w:szCs w:val="24"/>
        </w:rPr>
        <w:t>Бланк</w:t>
      </w:r>
    </w:p>
    <w:p w:rsidR="00E1245E" w:rsidRPr="005225A8" w:rsidRDefault="00E1245E" w:rsidP="005225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25A8">
        <w:rPr>
          <w:rFonts w:ascii="Times New Roman" w:hAnsi="Times New Roman" w:cs="Times New Roman"/>
          <w:b/>
          <w:sz w:val="24"/>
          <w:szCs w:val="24"/>
        </w:rPr>
        <w:t>Контрольный лист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3945"/>
        <w:gridCol w:w="2381"/>
        <w:gridCol w:w="1764"/>
        <w:gridCol w:w="1764"/>
      </w:tblGrid>
      <w:tr w:rsidR="005225A8" w:rsidRPr="005225A8" w:rsidTr="005225A8">
        <w:trPr>
          <w:tblHeader/>
        </w:trPr>
        <w:tc>
          <w:tcPr>
            <w:tcW w:w="65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45E" w:rsidRPr="005225A8" w:rsidRDefault="00E1245E" w:rsidP="005225A8">
            <w:pPr>
              <w:jc w:val="center"/>
              <w:rPr>
                <w:sz w:val="24"/>
                <w:szCs w:val="24"/>
                <w:lang w:eastAsia="ru-RU"/>
              </w:rPr>
            </w:pPr>
            <w:r w:rsidRPr="005225A8">
              <w:rPr>
                <w:sz w:val="24"/>
                <w:szCs w:val="24"/>
                <w:lang w:eastAsia="ru-RU"/>
              </w:rPr>
              <w:t>характеристики пашни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45E" w:rsidRPr="005225A8" w:rsidRDefault="00E1245E" w:rsidP="005225A8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5225A8">
              <w:rPr>
                <w:sz w:val="24"/>
                <w:szCs w:val="24"/>
                <w:lang w:eastAsia="ru-RU"/>
              </w:rPr>
              <w:t xml:space="preserve">оценка </w:t>
            </w:r>
            <w:bookmarkStart w:id="0" w:name="_GoBack"/>
            <w:bookmarkEnd w:id="0"/>
            <w:r w:rsidRPr="005225A8">
              <w:rPr>
                <w:sz w:val="24"/>
                <w:szCs w:val="24"/>
                <w:lang w:eastAsia="ru-RU"/>
              </w:rPr>
              <w:t>обуч</w:t>
            </w:r>
            <w:r w:rsidRPr="005225A8">
              <w:rPr>
                <w:sz w:val="24"/>
                <w:szCs w:val="24"/>
                <w:lang w:eastAsia="ru-RU"/>
              </w:rPr>
              <w:t>а</w:t>
            </w:r>
            <w:r w:rsidRPr="005225A8">
              <w:rPr>
                <w:sz w:val="24"/>
                <w:szCs w:val="24"/>
                <w:lang w:eastAsia="ru-RU"/>
              </w:rPr>
              <w:t>ющег</w:t>
            </w:r>
            <w:r w:rsidRPr="005225A8">
              <w:rPr>
                <w:sz w:val="24"/>
                <w:szCs w:val="24"/>
                <w:lang w:eastAsia="ru-RU"/>
              </w:rPr>
              <w:t>о</w:t>
            </w:r>
            <w:r w:rsidRPr="005225A8">
              <w:rPr>
                <w:sz w:val="24"/>
                <w:szCs w:val="24"/>
                <w:lang w:eastAsia="ru-RU"/>
              </w:rPr>
              <w:t>ся</w:t>
            </w:r>
            <w:r w:rsidR="007F7BBD">
              <w:rPr>
                <w:sz w:val="24"/>
                <w:szCs w:val="24"/>
                <w:lang w:eastAsia="ru-RU"/>
              </w:rPr>
              <w:t>,</w:t>
            </w:r>
            <w:r w:rsidRPr="005225A8">
              <w:rPr>
                <w:b/>
                <w:sz w:val="24"/>
                <w:szCs w:val="24"/>
                <w:lang w:eastAsia="ru-RU"/>
              </w:rPr>
              <w:t>+\-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245E" w:rsidRPr="005225A8" w:rsidRDefault="00E1245E" w:rsidP="005225A8">
            <w:pPr>
              <w:jc w:val="center"/>
              <w:rPr>
                <w:sz w:val="24"/>
                <w:szCs w:val="24"/>
                <w:lang w:eastAsia="ru-RU"/>
              </w:rPr>
            </w:pPr>
            <w:r w:rsidRPr="005225A8">
              <w:rPr>
                <w:sz w:val="24"/>
                <w:szCs w:val="24"/>
                <w:lang w:eastAsia="ru-RU"/>
              </w:rPr>
              <w:t>оценка преп</w:t>
            </w:r>
            <w:r w:rsidRPr="005225A8">
              <w:rPr>
                <w:sz w:val="24"/>
                <w:szCs w:val="24"/>
                <w:lang w:eastAsia="ru-RU"/>
              </w:rPr>
              <w:t>о</w:t>
            </w:r>
            <w:r w:rsidRPr="005225A8">
              <w:rPr>
                <w:sz w:val="24"/>
                <w:szCs w:val="24"/>
                <w:lang w:eastAsia="ru-RU"/>
              </w:rPr>
              <w:t>давателя</w:t>
            </w:r>
            <w:r w:rsidR="007F7BBD">
              <w:rPr>
                <w:sz w:val="24"/>
                <w:szCs w:val="24"/>
                <w:lang w:eastAsia="ru-RU"/>
              </w:rPr>
              <w:t>,</w:t>
            </w:r>
            <w:r w:rsidRPr="005225A8">
              <w:rPr>
                <w:sz w:val="24"/>
                <w:szCs w:val="24"/>
                <w:lang w:eastAsia="ru-RU"/>
              </w:rPr>
              <w:t xml:space="preserve"> </w:t>
            </w:r>
            <w:r w:rsidRPr="005225A8">
              <w:rPr>
                <w:b/>
                <w:sz w:val="24"/>
                <w:szCs w:val="24"/>
                <w:lang w:eastAsia="ru-RU"/>
              </w:rPr>
              <w:t>+\-</w:t>
            </w:r>
          </w:p>
        </w:tc>
      </w:tr>
      <w:tr w:rsidR="005225A8" w:rsidRPr="005225A8" w:rsidTr="005225A8">
        <w:tc>
          <w:tcPr>
            <w:tcW w:w="4077" w:type="dxa"/>
            <w:tcBorders>
              <w:bottom w:val="nil"/>
            </w:tcBorders>
            <w:shd w:val="clear" w:color="auto" w:fill="auto"/>
            <w:vAlign w:val="center"/>
          </w:tcPr>
          <w:p w:rsidR="007142C1" w:rsidRPr="005225A8" w:rsidRDefault="007142C1" w:rsidP="005225A8">
            <w:pPr>
              <w:rPr>
                <w:sz w:val="24"/>
                <w:szCs w:val="24"/>
                <w:lang w:eastAsia="ru-RU"/>
              </w:rPr>
            </w:pPr>
            <w:proofErr w:type="gramStart"/>
            <w:r w:rsidRPr="005225A8">
              <w:rPr>
                <w:sz w:val="24"/>
                <w:szCs w:val="24"/>
                <w:lang w:eastAsia="ru-RU"/>
              </w:rPr>
              <w:t>Отклонение фактической глубины вспашки от заданной на полях, см:</w:t>
            </w:r>
            <w:proofErr w:type="gramEnd"/>
          </w:p>
        </w:tc>
        <w:tc>
          <w:tcPr>
            <w:tcW w:w="2458" w:type="dxa"/>
            <w:tcBorders>
              <w:bottom w:val="nil"/>
            </w:tcBorders>
            <w:shd w:val="clear" w:color="auto" w:fill="auto"/>
            <w:vAlign w:val="center"/>
          </w:tcPr>
          <w:p w:rsidR="007142C1" w:rsidRPr="005225A8" w:rsidRDefault="007142C1" w:rsidP="005225A8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bottom w:val="nil"/>
            </w:tcBorders>
            <w:shd w:val="clear" w:color="auto" w:fill="auto"/>
            <w:vAlign w:val="center"/>
          </w:tcPr>
          <w:p w:rsidR="007142C1" w:rsidRPr="005225A8" w:rsidRDefault="007142C1" w:rsidP="005225A8">
            <w:pPr>
              <w:spacing w:line="60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bottom w:val="nil"/>
            </w:tcBorders>
            <w:shd w:val="clear" w:color="auto" w:fill="auto"/>
            <w:vAlign w:val="center"/>
          </w:tcPr>
          <w:p w:rsidR="007142C1" w:rsidRPr="005225A8" w:rsidRDefault="007142C1" w:rsidP="005225A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225A8" w:rsidRPr="005225A8" w:rsidTr="005225A8">
        <w:tc>
          <w:tcPr>
            <w:tcW w:w="407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142C1" w:rsidRPr="005225A8" w:rsidRDefault="007142C1" w:rsidP="005225A8">
            <w:pPr>
              <w:rPr>
                <w:sz w:val="24"/>
                <w:szCs w:val="24"/>
                <w:lang w:eastAsia="ru-RU"/>
              </w:rPr>
            </w:pPr>
            <w:r w:rsidRPr="005225A8">
              <w:rPr>
                <w:sz w:val="24"/>
                <w:szCs w:val="24"/>
                <w:lang w:eastAsia="ru-RU"/>
              </w:rPr>
              <w:t>на выравненных участках</w:t>
            </w:r>
          </w:p>
        </w:tc>
        <w:tc>
          <w:tcPr>
            <w:tcW w:w="24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142C1" w:rsidRPr="005225A8" w:rsidRDefault="007142C1" w:rsidP="005225A8">
            <w:pPr>
              <w:rPr>
                <w:sz w:val="24"/>
                <w:szCs w:val="24"/>
                <w:lang w:eastAsia="ru-RU"/>
              </w:rPr>
            </w:pPr>
            <w:r w:rsidRPr="005225A8">
              <w:rPr>
                <w:sz w:val="24"/>
                <w:szCs w:val="24"/>
                <w:lang w:eastAsia="ru-RU"/>
              </w:rPr>
              <w:t>±1</w:t>
            </w:r>
          </w:p>
        </w:tc>
        <w:tc>
          <w:tcPr>
            <w:tcW w:w="181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142C1" w:rsidRPr="005225A8" w:rsidRDefault="007142C1" w:rsidP="005225A8">
            <w:pPr>
              <w:spacing w:line="60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7142C1" w:rsidRPr="005225A8" w:rsidRDefault="007142C1" w:rsidP="005225A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225A8" w:rsidRPr="005225A8" w:rsidTr="005225A8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2C1" w:rsidRPr="005225A8" w:rsidRDefault="007142C1" w:rsidP="005225A8">
            <w:pPr>
              <w:rPr>
                <w:sz w:val="24"/>
                <w:szCs w:val="24"/>
                <w:lang w:eastAsia="ru-RU"/>
              </w:rPr>
            </w:pPr>
            <w:r w:rsidRPr="005225A8">
              <w:rPr>
                <w:sz w:val="24"/>
                <w:szCs w:val="24"/>
                <w:lang w:eastAsia="ru-RU"/>
              </w:rPr>
              <w:t xml:space="preserve">на </w:t>
            </w:r>
            <w:proofErr w:type="spellStart"/>
            <w:r w:rsidRPr="005225A8">
              <w:rPr>
                <w:sz w:val="24"/>
                <w:szCs w:val="24"/>
                <w:lang w:eastAsia="ru-RU"/>
              </w:rPr>
              <w:t>невыравненных</w:t>
            </w:r>
            <w:proofErr w:type="spellEnd"/>
            <w:r w:rsidRPr="005225A8">
              <w:rPr>
                <w:sz w:val="24"/>
                <w:szCs w:val="24"/>
                <w:lang w:eastAsia="ru-RU"/>
              </w:rPr>
              <w:t xml:space="preserve"> участках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2C1" w:rsidRPr="005225A8" w:rsidRDefault="007142C1" w:rsidP="005225A8">
            <w:pPr>
              <w:rPr>
                <w:sz w:val="24"/>
                <w:szCs w:val="24"/>
                <w:lang w:eastAsia="ru-RU"/>
              </w:rPr>
            </w:pPr>
            <w:r w:rsidRPr="005225A8">
              <w:rPr>
                <w:sz w:val="24"/>
                <w:szCs w:val="24"/>
                <w:lang w:eastAsia="ru-RU"/>
              </w:rPr>
              <w:t>±2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2C1" w:rsidRPr="005225A8" w:rsidRDefault="007142C1" w:rsidP="005225A8">
            <w:pPr>
              <w:spacing w:line="60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2C1" w:rsidRPr="005225A8" w:rsidRDefault="007142C1" w:rsidP="005225A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225A8" w:rsidRPr="005225A8" w:rsidTr="005225A8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2C1" w:rsidRPr="005225A8" w:rsidRDefault="007142C1" w:rsidP="005225A8">
            <w:pPr>
              <w:rPr>
                <w:sz w:val="24"/>
                <w:szCs w:val="24"/>
                <w:lang w:eastAsia="ru-RU"/>
              </w:rPr>
            </w:pPr>
            <w:r w:rsidRPr="005225A8">
              <w:rPr>
                <w:sz w:val="24"/>
                <w:szCs w:val="24"/>
                <w:lang w:eastAsia="ru-RU"/>
              </w:rPr>
              <w:t xml:space="preserve">Равномерность глубины, </w:t>
            </w:r>
            <w:proofErr w:type="gramStart"/>
            <w:r w:rsidRPr="005225A8">
              <w:rPr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2C1" w:rsidRPr="005225A8" w:rsidRDefault="007142C1" w:rsidP="005225A8">
            <w:pPr>
              <w:rPr>
                <w:sz w:val="24"/>
                <w:szCs w:val="24"/>
                <w:lang w:eastAsia="ru-RU"/>
              </w:rPr>
            </w:pPr>
            <w:r w:rsidRPr="005225A8">
              <w:rPr>
                <w:sz w:val="24"/>
                <w:szCs w:val="24"/>
                <w:lang w:eastAsia="ru-RU"/>
              </w:rPr>
              <w:t xml:space="preserve">±2 </w:t>
            </w:r>
          </w:p>
          <w:p w:rsidR="007142C1" w:rsidRPr="005225A8" w:rsidRDefault="007142C1" w:rsidP="005225A8">
            <w:pPr>
              <w:rPr>
                <w:sz w:val="24"/>
                <w:szCs w:val="24"/>
                <w:lang w:eastAsia="ru-RU"/>
              </w:rPr>
            </w:pPr>
            <w:r w:rsidRPr="005225A8">
              <w:rPr>
                <w:sz w:val="24"/>
                <w:szCs w:val="24"/>
                <w:lang w:eastAsia="ru-RU"/>
              </w:rPr>
              <w:t>коэффициент вари</w:t>
            </w:r>
            <w:r w:rsidRPr="005225A8">
              <w:rPr>
                <w:sz w:val="24"/>
                <w:szCs w:val="24"/>
                <w:lang w:eastAsia="ru-RU"/>
              </w:rPr>
              <w:t>а</w:t>
            </w:r>
            <w:r w:rsidRPr="005225A8">
              <w:rPr>
                <w:sz w:val="24"/>
                <w:szCs w:val="24"/>
                <w:lang w:eastAsia="ru-RU"/>
              </w:rPr>
              <w:t>ции до 10%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2C1" w:rsidRPr="005225A8" w:rsidRDefault="007142C1" w:rsidP="005225A8">
            <w:pPr>
              <w:spacing w:line="60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2C1" w:rsidRPr="005225A8" w:rsidRDefault="007142C1" w:rsidP="005225A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225A8" w:rsidRPr="005225A8" w:rsidTr="005225A8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2C1" w:rsidRPr="005225A8" w:rsidRDefault="007142C1" w:rsidP="005225A8">
            <w:pPr>
              <w:rPr>
                <w:sz w:val="24"/>
                <w:szCs w:val="24"/>
                <w:lang w:eastAsia="ru-RU"/>
              </w:rPr>
            </w:pPr>
            <w:r w:rsidRPr="005225A8">
              <w:rPr>
                <w:sz w:val="24"/>
                <w:szCs w:val="24"/>
                <w:lang w:eastAsia="ru-RU"/>
              </w:rPr>
              <w:t>Фактическая ширина захвата агр</w:t>
            </w:r>
            <w:r w:rsidRPr="005225A8">
              <w:rPr>
                <w:sz w:val="24"/>
                <w:szCs w:val="24"/>
                <w:lang w:eastAsia="ru-RU"/>
              </w:rPr>
              <w:t>е</w:t>
            </w:r>
            <w:r w:rsidRPr="005225A8">
              <w:rPr>
                <w:sz w:val="24"/>
                <w:szCs w:val="24"/>
                <w:lang w:eastAsia="ru-RU"/>
              </w:rPr>
              <w:t>гата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2C1" w:rsidRPr="005225A8" w:rsidRDefault="007142C1" w:rsidP="005225A8">
            <w:pPr>
              <w:rPr>
                <w:sz w:val="24"/>
                <w:szCs w:val="24"/>
                <w:lang w:eastAsia="ru-RU"/>
              </w:rPr>
            </w:pPr>
            <w:r w:rsidRPr="005225A8">
              <w:rPr>
                <w:sz w:val="24"/>
                <w:szCs w:val="24"/>
                <w:lang w:eastAsia="ru-RU"/>
              </w:rPr>
              <w:t>±5%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2C1" w:rsidRPr="005225A8" w:rsidRDefault="007142C1" w:rsidP="005225A8">
            <w:pPr>
              <w:spacing w:line="60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2C1" w:rsidRPr="005225A8" w:rsidRDefault="007142C1" w:rsidP="005225A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225A8" w:rsidRPr="005225A8" w:rsidTr="005225A8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2C1" w:rsidRPr="005225A8" w:rsidRDefault="007142C1" w:rsidP="005225A8">
            <w:pPr>
              <w:rPr>
                <w:sz w:val="24"/>
                <w:szCs w:val="24"/>
                <w:lang w:eastAsia="ru-RU"/>
              </w:rPr>
            </w:pPr>
            <w:r w:rsidRPr="005225A8">
              <w:rPr>
                <w:sz w:val="24"/>
                <w:szCs w:val="24"/>
                <w:lang w:eastAsia="ru-RU"/>
              </w:rPr>
              <w:lastRenderedPageBreak/>
              <w:t>Искривление рядов пахоты (прям</w:t>
            </w:r>
            <w:r w:rsidRPr="005225A8">
              <w:rPr>
                <w:sz w:val="24"/>
                <w:szCs w:val="24"/>
                <w:lang w:eastAsia="ru-RU"/>
              </w:rPr>
              <w:t>о</w:t>
            </w:r>
            <w:r w:rsidRPr="005225A8">
              <w:rPr>
                <w:sz w:val="24"/>
                <w:szCs w:val="24"/>
                <w:lang w:eastAsia="ru-RU"/>
              </w:rPr>
              <w:t xml:space="preserve">линейность), </w:t>
            </w:r>
            <w:proofErr w:type="gramStart"/>
            <w:r w:rsidRPr="005225A8">
              <w:rPr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2C1" w:rsidRPr="005225A8" w:rsidRDefault="007142C1" w:rsidP="005225A8">
            <w:pPr>
              <w:rPr>
                <w:sz w:val="24"/>
                <w:szCs w:val="24"/>
                <w:lang w:eastAsia="ru-RU"/>
              </w:rPr>
            </w:pPr>
            <w:r w:rsidRPr="005225A8">
              <w:rPr>
                <w:sz w:val="24"/>
                <w:szCs w:val="24"/>
                <w:lang w:eastAsia="ru-RU"/>
              </w:rPr>
              <w:t>±1 на 500 м длины гона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2C1" w:rsidRPr="005225A8" w:rsidRDefault="007142C1" w:rsidP="005225A8">
            <w:pPr>
              <w:spacing w:line="60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2C1" w:rsidRPr="005225A8" w:rsidRDefault="007142C1" w:rsidP="005225A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225A8" w:rsidRPr="005225A8" w:rsidTr="005225A8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2C1" w:rsidRPr="005225A8" w:rsidRDefault="007142C1" w:rsidP="005225A8">
            <w:pPr>
              <w:rPr>
                <w:sz w:val="24"/>
                <w:szCs w:val="24"/>
                <w:lang w:eastAsia="ru-RU"/>
              </w:rPr>
            </w:pPr>
            <w:r w:rsidRPr="005225A8">
              <w:rPr>
                <w:sz w:val="24"/>
                <w:szCs w:val="24"/>
                <w:lang w:eastAsia="ru-RU"/>
              </w:rPr>
              <w:t>Выравненность поверхности почвы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2C1" w:rsidRPr="005225A8" w:rsidRDefault="007142C1" w:rsidP="005225A8">
            <w:pPr>
              <w:rPr>
                <w:sz w:val="24"/>
                <w:szCs w:val="24"/>
                <w:lang w:eastAsia="ru-RU"/>
              </w:rPr>
            </w:pPr>
            <w:r w:rsidRPr="005225A8">
              <w:rPr>
                <w:sz w:val="24"/>
                <w:szCs w:val="24"/>
                <w:lang w:eastAsia="ru-RU"/>
              </w:rPr>
              <w:t>длина профиля не более 10,7 м на о</w:t>
            </w:r>
            <w:r w:rsidRPr="005225A8">
              <w:rPr>
                <w:sz w:val="24"/>
                <w:szCs w:val="24"/>
                <w:lang w:eastAsia="ru-RU"/>
              </w:rPr>
              <w:t>т</w:t>
            </w:r>
            <w:r w:rsidRPr="005225A8">
              <w:rPr>
                <w:sz w:val="24"/>
                <w:szCs w:val="24"/>
                <w:lang w:eastAsia="ru-RU"/>
              </w:rPr>
              <w:t>резке 10 м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2C1" w:rsidRPr="005225A8" w:rsidRDefault="007142C1" w:rsidP="005225A8">
            <w:pPr>
              <w:spacing w:line="60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2C1" w:rsidRPr="005225A8" w:rsidRDefault="007142C1" w:rsidP="005225A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225A8" w:rsidRPr="005225A8" w:rsidTr="005225A8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2C1" w:rsidRPr="005225A8" w:rsidRDefault="007142C1" w:rsidP="005225A8">
            <w:pPr>
              <w:rPr>
                <w:sz w:val="24"/>
                <w:szCs w:val="24"/>
                <w:lang w:eastAsia="ru-RU"/>
              </w:rPr>
            </w:pPr>
            <w:r w:rsidRPr="005225A8">
              <w:rPr>
                <w:sz w:val="24"/>
                <w:szCs w:val="24"/>
                <w:lang w:eastAsia="ru-RU"/>
              </w:rPr>
              <w:t xml:space="preserve">Коэффициент </w:t>
            </w:r>
            <w:proofErr w:type="spellStart"/>
            <w:r w:rsidRPr="005225A8">
              <w:rPr>
                <w:sz w:val="24"/>
                <w:szCs w:val="24"/>
                <w:lang w:eastAsia="ru-RU"/>
              </w:rPr>
              <w:t>вспушенности</w:t>
            </w:r>
            <w:proofErr w:type="spellEnd"/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2C1" w:rsidRPr="005225A8" w:rsidRDefault="007142C1" w:rsidP="005225A8">
            <w:pPr>
              <w:rPr>
                <w:sz w:val="24"/>
                <w:szCs w:val="24"/>
                <w:lang w:eastAsia="ru-RU"/>
              </w:rPr>
            </w:pPr>
            <w:r w:rsidRPr="005225A8">
              <w:rPr>
                <w:sz w:val="24"/>
                <w:szCs w:val="24"/>
                <w:lang w:eastAsia="ru-RU"/>
              </w:rPr>
              <w:t>1,2 – 1,3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2C1" w:rsidRPr="005225A8" w:rsidRDefault="007142C1" w:rsidP="005225A8">
            <w:pPr>
              <w:spacing w:line="60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2C1" w:rsidRPr="005225A8" w:rsidRDefault="007142C1" w:rsidP="005225A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225A8" w:rsidRPr="005225A8" w:rsidTr="005225A8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2C1" w:rsidRPr="005225A8" w:rsidRDefault="007142C1" w:rsidP="005225A8">
            <w:pPr>
              <w:rPr>
                <w:sz w:val="24"/>
                <w:szCs w:val="24"/>
                <w:lang w:eastAsia="ru-RU"/>
              </w:rPr>
            </w:pPr>
            <w:r w:rsidRPr="005225A8">
              <w:rPr>
                <w:sz w:val="24"/>
                <w:szCs w:val="24"/>
                <w:lang w:eastAsia="ru-RU"/>
              </w:rPr>
              <w:t>Наличие глыб размером более 100 см</w:t>
            </w:r>
            <w:proofErr w:type="gramStart"/>
            <w:r w:rsidRPr="005225A8">
              <w:rPr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5225A8">
              <w:rPr>
                <w:sz w:val="24"/>
                <w:szCs w:val="24"/>
                <w:lang w:eastAsia="ru-RU"/>
              </w:rPr>
              <w:t> или диаметром более 5 см, %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2C1" w:rsidRPr="005225A8" w:rsidRDefault="007142C1" w:rsidP="005225A8">
            <w:pPr>
              <w:rPr>
                <w:sz w:val="24"/>
                <w:szCs w:val="24"/>
                <w:lang w:eastAsia="ru-RU"/>
              </w:rPr>
            </w:pPr>
            <w:r w:rsidRPr="005225A8">
              <w:rPr>
                <w:sz w:val="24"/>
                <w:szCs w:val="24"/>
                <w:lang w:eastAsia="ru-RU"/>
              </w:rPr>
              <w:t>не более 15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2C1" w:rsidRPr="005225A8" w:rsidRDefault="007142C1" w:rsidP="005225A8">
            <w:pPr>
              <w:spacing w:line="60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2C1" w:rsidRPr="005225A8" w:rsidRDefault="007142C1" w:rsidP="005225A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225A8" w:rsidRPr="005225A8" w:rsidTr="005225A8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2C1" w:rsidRPr="005225A8" w:rsidRDefault="007142C1" w:rsidP="005225A8">
            <w:pPr>
              <w:rPr>
                <w:sz w:val="24"/>
                <w:szCs w:val="24"/>
                <w:lang w:eastAsia="ru-RU"/>
              </w:rPr>
            </w:pPr>
            <w:r w:rsidRPr="005225A8">
              <w:rPr>
                <w:sz w:val="24"/>
                <w:szCs w:val="24"/>
                <w:lang w:eastAsia="ru-RU"/>
              </w:rPr>
              <w:t xml:space="preserve">Высота гребней, </w:t>
            </w:r>
            <w:proofErr w:type="gramStart"/>
            <w:r w:rsidRPr="005225A8">
              <w:rPr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2C1" w:rsidRPr="005225A8" w:rsidRDefault="007142C1" w:rsidP="005225A8">
            <w:pPr>
              <w:rPr>
                <w:sz w:val="24"/>
                <w:szCs w:val="24"/>
                <w:lang w:eastAsia="ru-RU"/>
              </w:rPr>
            </w:pPr>
            <w:r w:rsidRPr="005225A8">
              <w:rPr>
                <w:sz w:val="24"/>
                <w:szCs w:val="24"/>
                <w:lang w:eastAsia="ru-RU"/>
              </w:rPr>
              <w:t>не более 5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2C1" w:rsidRPr="005225A8" w:rsidRDefault="007142C1" w:rsidP="005225A8">
            <w:pPr>
              <w:spacing w:line="60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2C1" w:rsidRPr="005225A8" w:rsidRDefault="007142C1" w:rsidP="005225A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225A8" w:rsidRPr="005225A8" w:rsidTr="005225A8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2C1" w:rsidRPr="005225A8" w:rsidRDefault="007142C1" w:rsidP="005225A8">
            <w:pPr>
              <w:rPr>
                <w:sz w:val="24"/>
                <w:szCs w:val="24"/>
                <w:lang w:eastAsia="ru-RU"/>
              </w:rPr>
            </w:pPr>
            <w:r w:rsidRPr="005225A8">
              <w:rPr>
                <w:sz w:val="24"/>
                <w:szCs w:val="24"/>
                <w:lang w:eastAsia="ru-RU"/>
              </w:rPr>
              <w:t>Заделка растительных остатков, сорных растений, удобрений,%</w:t>
            </w:r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2C1" w:rsidRPr="005225A8" w:rsidRDefault="007142C1" w:rsidP="005225A8">
            <w:pPr>
              <w:rPr>
                <w:sz w:val="24"/>
                <w:szCs w:val="24"/>
                <w:lang w:eastAsia="ru-RU"/>
              </w:rPr>
            </w:pPr>
            <w:r w:rsidRPr="005225A8">
              <w:rPr>
                <w:sz w:val="24"/>
                <w:szCs w:val="24"/>
                <w:lang w:eastAsia="ru-RU"/>
              </w:rPr>
              <w:t>не менее 95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2C1" w:rsidRPr="005225A8" w:rsidRDefault="007142C1" w:rsidP="005225A8">
            <w:pPr>
              <w:spacing w:line="60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2C1" w:rsidRPr="005225A8" w:rsidRDefault="007142C1" w:rsidP="005225A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225A8" w:rsidRPr="005225A8" w:rsidTr="005225A8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2C1" w:rsidRPr="005225A8" w:rsidRDefault="007142C1" w:rsidP="005225A8">
            <w:pPr>
              <w:rPr>
                <w:sz w:val="24"/>
                <w:szCs w:val="24"/>
                <w:lang w:eastAsia="ru-RU"/>
              </w:rPr>
            </w:pPr>
            <w:r w:rsidRPr="005225A8">
              <w:rPr>
                <w:sz w:val="24"/>
                <w:szCs w:val="24"/>
                <w:lang w:eastAsia="ru-RU"/>
              </w:rPr>
              <w:t xml:space="preserve">Своевременность заглубления и подъема плуга, </w:t>
            </w:r>
            <w:proofErr w:type="gramStart"/>
            <w:r w:rsidRPr="005225A8">
              <w:rPr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2C1" w:rsidRPr="005225A8" w:rsidRDefault="007142C1" w:rsidP="005225A8">
            <w:pPr>
              <w:rPr>
                <w:sz w:val="24"/>
                <w:szCs w:val="24"/>
                <w:lang w:eastAsia="ru-RU"/>
              </w:rPr>
            </w:pPr>
            <w:r w:rsidRPr="005225A8">
              <w:rPr>
                <w:sz w:val="24"/>
                <w:szCs w:val="24"/>
                <w:lang w:eastAsia="ru-RU"/>
              </w:rPr>
              <w:t>1,5 от контрольной линии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2C1" w:rsidRPr="005225A8" w:rsidRDefault="007142C1" w:rsidP="005225A8">
            <w:pPr>
              <w:spacing w:line="60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2C1" w:rsidRPr="005225A8" w:rsidRDefault="007142C1" w:rsidP="005225A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225A8" w:rsidRPr="005225A8" w:rsidTr="005225A8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2C1" w:rsidRPr="005225A8" w:rsidRDefault="007142C1" w:rsidP="005225A8">
            <w:pPr>
              <w:rPr>
                <w:sz w:val="24"/>
                <w:szCs w:val="24"/>
                <w:lang w:eastAsia="ru-RU"/>
              </w:rPr>
            </w:pPr>
            <w:r w:rsidRPr="005225A8">
              <w:rPr>
                <w:sz w:val="24"/>
                <w:szCs w:val="24"/>
                <w:lang w:eastAsia="ru-RU"/>
              </w:rPr>
              <w:t xml:space="preserve">Высота свальных гребней и глубина развальных борозд, </w:t>
            </w:r>
            <w:proofErr w:type="gramStart"/>
            <w:r w:rsidRPr="005225A8">
              <w:rPr>
                <w:sz w:val="24"/>
                <w:szCs w:val="24"/>
                <w:lang w:eastAsia="ru-RU"/>
              </w:rPr>
              <w:t>см</w:t>
            </w:r>
            <w:proofErr w:type="gramEnd"/>
          </w:p>
        </w:tc>
        <w:tc>
          <w:tcPr>
            <w:tcW w:w="24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2C1" w:rsidRPr="005225A8" w:rsidRDefault="007142C1" w:rsidP="005225A8">
            <w:pPr>
              <w:rPr>
                <w:sz w:val="24"/>
                <w:szCs w:val="24"/>
                <w:lang w:eastAsia="ru-RU"/>
              </w:rPr>
            </w:pPr>
            <w:r w:rsidRPr="005225A8">
              <w:rPr>
                <w:sz w:val="24"/>
                <w:szCs w:val="24"/>
                <w:lang w:eastAsia="ru-RU"/>
              </w:rPr>
              <w:t>не более 7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2C1" w:rsidRPr="005225A8" w:rsidRDefault="007142C1" w:rsidP="005225A8">
            <w:pPr>
              <w:spacing w:line="60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2C1" w:rsidRPr="005225A8" w:rsidRDefault="007142C1" w:rsidP="005225A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225A8" w:rsidRPr="005225A8" w:rsidTr="005225A8">
        <w:tc>
          <w:tcPr>
            <w:tcW w:w="6535" w:type="dxa"/>
            <w:gridSpan w:val="2"/>
            <w:shd w:val="clear" w:color="auto" w:fill="auto"/>
            <w:vAlign w:val="center"/>
          </w:tcPr>
          <w:p w:rsidR="007142C1" w:rsidRPr="005225A8" w:rsidRDefault="0080361C" w:rsidP="005225A8">
            <w:pPr>
              <w:rPr>
                <w:sz w:val="24"/>
                <w:szCs w:val="24"/>
                <w:lang w:eastAsia="ru-RU"/>
              </w:rPr>
            </w:pPr>
            <w:r w:rsidRPr="005225A8">
              <w:rPr>
                <w:sz w:val="24"/>
                <w:szCs w:val="24"/>
                <w:lang w:eastAsia="ru-RU"/>
              </w:rPr>
              <w:t xml:space="preserve">Вспашка проведена (поперек склона и) под углом к предыдущей обработке </w:t>
            </w:r>
          </w:p>
        </w:tc>
        <w:tc>
          <w:tcPr>
            <w:tcW w:w="1819" w:type="dxa"/>
            <w:shd w:val="clear" w:color="auto" w:fill="auto"/>
            <w:vAlign w:val="center"/>
          </w:tcPr>
          <w:p w:rsidR="007142C1" w:rsidRPr="005225A8" w:rsidRDefault="007142C1" w:rsidP="005225A8">
            <w:pPr>
              <w:spacing w:line="60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7142C1" w:rsidRPr="005225A8" w:rsidRDefault="007142C1" w:rsidP="005225A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225A8" w:rsidRPr="005225A8" w:rsidTr="005225A8">
        <w:tc>
          <w:tcPr>
            <w:tcW w:w="653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361C" w:rsidRPr="005225A8" w:rsidRDefault="0080361C" w:rsidP="005225A8">
            <w:pPr>
              <w:rPr>
                <w:sz w:val="24"/>
                <w:szCs w:val="24"/>
                <w:lang w:eastAsia="ru-RU"/>
              </w:rPr>
            </w:pPr>
            <w:r w:rsidRPr="005225A8">
              <w:rPr>
                <w:sz w:val="24"/>
                <w:szCs w:val="24"/>
                <w:lang w:eastAsia="ru-RU"/>
              </w:rPr>
              <w:t xml:space="preserve">Отсутствуют грехи, необработанные поворотные полосы, </w:t>
            </w:r>
            <w:proofErr w:type="spellStart"/>
            <w:r w:rsidRPr="005225A8">
              <w:rPr>
                <w:sz w:val="24"/>
                <w:szCs w:val="24"/>
                <w:lang w:eastAsia="ru-RU"/>
              </w:rPr>
              <w:t>незаделанные</w:t>
            </w:r>
            <w:proofErr w:type="spellEnd"/>
            <w:r w:rsidRPr="005225A8">
              <w:rPr>
                <w:sz w:val="24"/>
                <w:szCs w:val="24"/>
                <w:lang w:eastAsia="ru-RU"/>
              </w:rPr>
              <w:t xml:space="preserve"> разъемные борозды и невспаханные свал</w:t>
            </w:r>
            <w:r w:rsidRPr="005225A8">
              <w:rPr>
                <w:sz w:val="24"/>
                <w:szCs w:val="24"/>
                <w:lang w:eastAsia="ru-RU"/>
              </w:rPr>
              <w:t>ь</w:t>
            </w:r>
            <w:r w:rsidRPr="005225A8">
              <w:rPr>
                <w:sz w:val="24"/>
                <w:szCs w:val="24"/>
                <w:lang w:eastAsia="ru-RU"/>
              </w:rPr>
              <w:t>ные гребни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361C" w:rsidRPr="005225A8" w:rsidRDefault="0080361C" w:rsidP="005225A8">
            <w:pPr>
              <w:spacing w:line="60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361C" w:rsidRPr="005225A8" w:rsidRDefault="0080361C" w:rsidP="005225A8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E1245E" w:rsidRPr="005225A8" w:rsidRDefault="00E1245E" w:rsidP="005225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2C1" w:rsidRPr="005225A8" w:rsidRDefault="007142C1" w:rsidP="005225A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</w:pPr>
      <w:r w:rsidRPr="005225A8">
        <w:rPr>
          <w:rFonts w:ascii="Times New Roman" w:eastAsia="Times New Roman" w:hAnsi="Times New Roman" w:cs="Times New Roman"/>
          <w:b/>
          <w:i/>
          <w:kern w:val="36"/>
          <w:sz w:val="24"/>
          <w:szCs w:val="24"/>
          <w:lang w:eastAsia="ru-RU"/>
        </w:rPr>
        <w:t>Источник</w:t>
      </w:r>
    </w:p>
    <w:p w:rsidR="00342B00" w:rsidRPr="005225A8" w:rsidRDefault="00342B00" w:rsidP="005225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5225A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Контроль качества работ при вспашке</w:t>
      </w:r>
    </w:p>
    <w:p w:rsidR="00342B00" w:rsidRPr="005225A8" w:rsidRDefault="00342B00" w:rsidP="00522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Агротехнические требования к вспашке включают:</w:t>
      </w:r>
    </w:p>
    <w:p w:rsidR="00342B00" w:rsidRPr="005225A8" w:rsidRDefault="00342B00" w:rsidP="00522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а) хорошее оборачивание пласта,</w:t>
      </w:r>
    </w:p>
    <w:p w:rsidR="00342B00" w:rsidRPr="005225A8" w:rsidRDefault="00342B00" w:rsidP="00522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полную заделку дернины, стерни, сорняков и удобрений,</w:t>
      </w:r>
    </w:p>
    <w:p w:rsidR="00342B00" w:rsidRPr="005225A8" w:rsidRDefault="00342B00" w:rsidP="00522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крошение пласта почвы.</w:t>
      </w:r>
    </w:p>
    <w:p w:rsidR="00342B00" w:rsidRPr="005225A8" w:rsidRDefault="00342B00" w:rsidP="00522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качества регламентируют основные требования к тому или иному техн</w:t>
      </w: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логическому приему для того, чтобы обеспечить выполнение агротехнических требований.</w:t>
      </w:r>
    </w:p>
    <w:p w:rsidR="00342B00" w:rsidRPr="005225A8" w:rsidRDefault="00342B00" w:rsidP="00522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Качество вспашки определяют по следующим показателям: глубине, выравненности и </w:t>
      </w:r>
      <w:proofErr w:type="spellStart"/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гребнистости</w:t>
      </w:r>
      <w:proofErr w:type="spellEnd"/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поверхности поля. Дополнительно определяют степень рыхлости или </w:t>
      </w:r>
      <w:proofErr w:type="spellStart"/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</w:t>
      </w: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шенность</w:t>
      </w:r>
      <w:proofErr w:type="spellEnd"/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поля, </w:t>
      </w:r>
      <w:proofErr w:type="spellStart"/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глыбистость</w:t>
      </w:r>
      <w:proofErr w:type="spellEnd"/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степень и глубину заделки дернины, жнивья, сорняков и удо</w:t>
      </w: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рений, отсутствие огрехов и недопаханных концов.</w:t>
      </w:r>
    </w:p>
    <w:p w:rsidR="00342B00" w:rsidRPr="005225A8" w:rsidRDefault="00342B00" w:rsidP="00522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Начало, глубину и продолжительность вспашки устанавливает агроном хозяйства, учитывая физическую спелость почвы, мощность пахотного слоя, особенности возделыва</w:t>
      </w: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культуры и засоренность поля.</w:t>
      </w:r>
    </w:p>
    <w:p w:rsidR="00342B00" w:rsidRPr="005225A8" w:rsidRDefault="00342B00" w:rsidP="00522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вспашки зависит от правильного выбора почвообрабатывающего орудия, укомплектования его нужными для данных условий рабочими органами. Вспашка целесоо</w:t>
      </w: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разна на полях, которые были заняты зерновыми культурами, при наличии высокой, пор</w:t>
      </w: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женной болезнями стерни, неубранной соломы, при сильном засорении сорняками, при вн</w:t>
      </w: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сении минеральных или органических удобрений и известковании.</w:t>
      </w:r>
    </w:p>
    <w:p w:rsidR="00342B00" w:rsidRPr="005225A8" w:rsidRDefault="00342B00" w:rsidP="00522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Вспашку следует начинать сразу после уборки главной культуры или после предвар</w:t>
      </w: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лущения, чтобы потери оставшейся в почве влаги были минимальными. Как прав</w:t>
      </w: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ло, ее </w:t>
      </w:r>
      <w:proofErr w:type="gramStart"/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</w:t>
      </w:r>
      <w:proofErr w:type="gramEnd"/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почва хорошо крошится и рыхлится. То есть в состоянии физической </w:t>
      </w: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спелости почвы, которая составляет для глинистой - от 50 до 65, суглинистой почвы от 40 до 70% наименьшей влагоемкости (НВ).</w:t>
      </w:r>
    </w:p>
    <w:p w:rsidR="00342B00" w:rsidRPr="005225A8" w:rsidRDefault="00342B00" w:rsidP="00522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Несвоевременная и некачественная обработка почвы ухудшает работу посевных и уборочных машин, ведет к поломкам агрегатов и, в конечном счете, снижает урожай не м</w:t>
      </w: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нее чем на 20%.</w:t>
      </w:r>
    </w:p>
    <w:p w:rsidR="00342B00" w:rsidRPr="005225A8" w:rsidRDefault="00342B00" w:rsidP="00522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отдельные годы осенью в засушливых зонах иногда приходится пахать сухую по</w:t>
      </w: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ву. При этом корпус плуга не крошит пласт, а открывает его слоями, образуя большие гл</w:t>
      </w: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бы. Их частично разрушают дисковыми орудиями. Оставшиеся небольшие глыбы почвы за осенне-зимний период увлажняются и при раннем весеннем рыхлении и бороновании расп</w:t>
      </w: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даются на мелкие комки.</w:t>
      </w:r>
    </w:p>
    <w:p w:rsidR="00342B00" w:rsidRPr="005225A8" w:rsidRDefault="00342B00" w:rsidP="00522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Разрушение глыб дополнительными обработками ведет к увеличению затрат труда, денежных средств и топлива, поэтому в таких случаях осеннюю основную обработку почвы нужно проводить плоскорезами. Если это невозможно, то отвальную вспашку сухих почв агроном засчитывает как вспашку в неблагоприятных условиях и корректирует отдельные показатели агротехнических требований.</w:t>
      </w:r>
    </w:p>
    <w:p w:rsidR="00342B00" w:rsidRPr="005225A8" w:rsidRDefault="00342B00" w:rsidP="00522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Отвальную вспашку (кроме перепашки зяби, пара и запашки органических удобр</w:t>
      </w: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ний) выполняют плугами общего назначения с предплужниками.</w:t>
      </w:r>
    </w:p>
    <w:p w:rsidR="00342B00" w:rsidRPr="005225A8" w:rsidRDefault="00342B00" w:rsidP="00522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Опавшие на поверхность поля семена сорняков глубоко заделываются в почву и не всходят, это уменьшает засоренность полей в 3-4 раза. Хорошая заделка растительных оста</w:t>
      </w: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 и семян сорняков позволяет отказаться в ряде случаев от применения дорогостоящих гербицидов. Энергетические суммарные затраты за ротацию снижаются в 1,5 раза, общая продуктивность севооборота возрастает на 20-30%.</w:t>
      </w:r>
    </w:p>
    <w:p w:rsidR="00342B00" w:rsidRPr="005225A8" w:rsidRDefault="00342B00" w:rsidP="00522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Глубину вспашки выбирают с учетом особенностей возделываемой культуры и ко</w:t>
      </w: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кретных условий поля. Наиболее распространена вспашка на глубину 20-22 см. В большин</w:t>
      </w: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 случаев наиболее эффективна разноглубинная вспашка, при которой устраняется плу</w:t>
      </w: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подошва. В условиях достаточного увлажнения Нечерноземной зоны глубокая вспашка нецелесообразна, так как подпахотный горизонт здесь имеет неблагоприятные агрофизич</w:t>
      </w: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ские свойства.</w:t>
      </w:r>
    </w:p>
    <w:p w:rsidR="00342B00" w:rsidRPr="005225A8" w:rsidRDefault="00342B00" w:rsidP="00522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Вспашку проводят по возможности поперек или под углом к предыдущей обработке поля, а на склонах - только поперек. Рабочие органы с приспособлениями не должны зали</w:t>
      </w: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пать и забиваться при влажности почвы до 75% НВ.</w:t>
      </w:r>
    </w:p>
    <w:p w:rsidR="00342B00" w:rsidRPr="005225A8" w:rsidRDefault="00342B00" w:rsidP="00522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Поле разбивается на загонки, ширина которых должна быть кратной ширине захвата пахотного агрегата, а отношение ширины к длине гона </w:t>
      </w:r>
      <w:proofErr w:type="spellStart"/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усредненно</w:t>
      </w:r>
      <w:proofErr w:type="spellEnd"/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принять как 1:10. Первая борозда при вспашке </w:t>
      </w:r>
      <w:proofErr w:type="spellStart"/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всвал</w:t>
      </w:r>
      <w:proofErr w:type="spellEnd"/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быть пройдена по вешкам, а при вспашке вразвал </w:t>
      </w:r>
      <w:r w:rsidR="005225A8"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вешкам с обеих сторон загонки. Борозды должны быть прямолинейными. Для уменьш</w:t>
      </w: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числа свальных гребней и разъемных борозд следует пахать нечетные </w:t>
      </w:r>
      <w:proofErr w:type="spellStart"/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всвал</w:t>
      </w:r>
      <w:proofErr w:type="spellEnd"/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четные </w:t>
      </w:r>
      <w:r w:rsidR="005225A8"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вразвал.</w:t>
      </w:r>
    </w:p>
    <w:p w:rsidR="00342B00" w:rsidRPr="005225A8" w:rsidRDefault="00342B00" w:rsidP="005225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25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вспашки всех загонов выравнивают свальные гребни, заделывают развальные борозды, распахивают поворотные полосы вкруговую без развальных борозд и свальных гребней.</w:t>
      </w:r>
    </w:p>
    <w:p w:rsidR="00411954" w:rsidRPr="005225A8" w:rsidRDefault="00411954" w:rsidP="00522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954" w:rsidRPr="005225A8" w:rsidRDefault="00411954" w:rsidP="00522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225A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Инструмент проверки</w:t>
      </w:r>
    </w:p>
    <w:p w:rsidR="005225A8" w:rsidRPr="005225A8" w:rsidRDefault="005225A8" w:rsidP="005225A8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330"/>
        <w:gridCol w:w="1524"/>
      </w:tblGrid>
      <w:tr w:rsidR="005225A8" w:rsidRPr="005225A8" w:rsidTr="005225A8">
        <w:tc>
          <w:tcPr>
            <w:tcW w:w="8330" w:type="dxa"/>
          </w:tcPr>
          <w:p w:rsidR="00411954" w:rsidRPr="005225A8" w:rsidRDefault="00411954" w:rsidP="005225A8">
            <w:pPr>
              <w:rPr>
                <w:sz w:val="24"/>
                <w:szCs w:val="24"/>
                <w:lang w:eastAsia="ru-RU"/>
              </w:rPr>
            </w:pPr>
            <w:r w:rsidRPr="005225A8">
              <w:rPr>
                <w:sz w:val="24"/>
                <w:szCs w:val="24"/>
                <w:lang w:eastAsia="ru-RU"/>
              </w:rPr>
              <w:t>За каждое соответствие оценки обучающегося оценке преподавателя \ руков</w:t>
            </w:r>
            <w:r w:rsidRPr="005225A8">
              <w:rPr>
                <w:sz w:val="24"/>
                <w:szCs w:val="24"/>
                <w:lang w:eastAsia="ru-RU"/>
              </w:rPr>
              <w:t>о</w:t>
            </w:r>
            <w:r w:rsidRPr="005225A8">
              <w:rPr>
                <w:sz w:val="24"/>
                <w:szCs w:val="24"/>
                <w:lang w:eastAsia="ru-RU"/>
              </w:rPr>
              <w:t>дителя практикой</w:t>
            </w:r>
          </w:p>
        </w:tc>
        <w:tc>
          <w:tcPr>
            <w:tcW w:w="1524" w:type="dxa"/>
          </w:tcPr>
          <w:p w:rsidR="00411954" w:rsidRPr="005225A8" w:rsidRDefault="00411954" w:rsidP="005225A8">
            <w:pPr>
              <w:rPr>
                <w:sz w:val="24"/>
                <w:szCs w:val="24"/>
                <w:lang w:eastAsia="ru-RU"/>
              </w:rPr>
            </w:pPr>
            <w:r w:rsidRPr="005225A8">
              <w:rPr>
                <w:sz w:val="24"/>
                <w:szCs w:val="24"/>
                <w:lang w:eastAsia="ru-RU"/>
              </w:rPr>
              <w:t>1 балл</w:t>
            </w:r>
          </w:p>
        </w:tc>
      </w:tr>
      <w:tr w:rsidR="005225A8" w:rsidRPr="005225A8" w:rsidTr="005225A8">
        <w:tc>
          <w:tcPr>
            <w:tcW w:w="8330" w:type="dxa"/>
          </w:tcPr>
          <w:p w:rsidR="00411954" w:rsidRPr="005225A8" w:rsidRDefault="00411954" w:rsidP="005225A8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5225A8">
              <w:rPr>
                <w:b/>
                <w:i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524" w:type="dxa"/>
          </w:tcPr>
          <w:p w:rsidR="00411954" w:rsidRPr="005225A8" w:rsidRDefault="00411954" w:rsidP="005225A8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5225A8">
              <w:rPr>
                <w:b/>
                <w:i/>
                <w:sz w:val="24"/>
                <w:szCs w:val="24"/>
                <w:lang w:eastAsia="ru-RU"/>
              </w:rPr>
              <w:t>14 баллов</w:t>
            </w:r>
          </w:p>
        </w:tc>
      </w:tr>
    </w:tbl>
    <w:p w:rsidR="00411954" w:rsidRPr="005225A8" w:rsidRDefault="00411954" w:rsidP="005225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11954" w:rsidRPr="005225A8" w:rsidSect="00E1245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40D4"/>
    <w:multiLevelType w:val="hybridMultilevel"/>
    <w:tmpl w:val="7CFC3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5E"/>
    <w:rsid w:val="00040DBC"/>
    <w:rsid w:val="00227D5B"/>
    <w:rsid w:val="00313276"/>
    <w:rsid w:val="00342B00"/>
    <w:rsid w:val="00411954"/>
    <w:rsid w:val="004C6AB9"/>
    <w:rsid w:val="005225A8"/>
    <w:rsid w:val="00682A0D"/>
    <w:rsid w:val="006C609A"/>
    <w:rsid w:val="007142C1"/>
    <w:rsid w:val="007F7BBD"/>
    <w:rsid w:val="0080361C"/>
    <w:rsid w:val="00997793"/>
    <w:rsid w:val="009B5E4B"/>
    <w:rsid w:val="00E1245E"/>
    <w:rsid w:val="00EB3823"/>
    <w:rsid w:val="00F94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45E"/>
    <w:pPr>
      <w:ind w:left="720"/>
      <w:contextualSpacing/>
    </w:pPr>
  </w:style>
  <w:style w:type="table" w:styleId="a4">
    <w:name w:val="Table Grid"/>
    <w:basedOn w:val="a1"/>
    <w:uiPriority w:val="99"/>
    <w:rsid w:val="00E12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45E"/>
    <w:pPr>
      <w:ind w:left="720"/>
      <w:contextualSpacing/>
    </w:pPr>
  </w:style>
  <w:style w:type="table" w:styleId="a4">
    <w:name w:val="Table Grid"/>
    <w:basedOn w:val="a1"/>
    <w:uiPriority w:val="99"/>
    <w:rsid w:val="00E124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2;\AppData\Roaming\Microsoft\&#1064;&#1072;&#1073;&#1083;&#1086;&#1085;&#1099;\Normal.dot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2021-03-17T11:56:00Z</dcterms:created>
  <dcterms:modified xsi:type="dcterms:W3CDTF">2021-03-17T11:56:00Z</dcterms:modified>
</cp:coreProperties>
</file>